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523DF" w14:textId="0AB84B6E" w:rsidR="00DA6D67" w:rsidRDefault="00DA6D67" w:rsidP="00A936EB">
      <w:pPr>
        <w:pStyle w:val="Ttulo"/>
        <w:spacing w:after="120"/>
        <w:rPr>
          <w:rFonts w:cs="Arial"/>
        </w:rPr>
      </w:pPr>
      <w:r w:rsidRPr="009147A8">
        <w:rPr>
          <w:rFonts w:cs="Arial"/>
        </w:rPr>
        <w:t>BOLETIM DE SUBSCRIÇÃO DE COTAS D</w:t>
      </w:r>
      <w:r w:rsidR="00D5093F">
        <w:rPr>
          <w:rFonts w:cs="Arial"/>
        </w:rPr>
        <w:t>A</w:t>
      </w:r>
      <w:r w:rsidRPr="009147A8">
        <w:rPr>
          <w:rFonts w:cs="Arial"/>
        </w:rPr>
        <w:br/>
      </w:r>
      <w:r w:rsidR="00A936EB" w:rsidRPr="00A936EB">
        <w:rPr>
          <w:rFonts w:cs="Arial"/>
          <w:bCs/>
        </w:rPr>
        <w:t>CLASSE ÚNICA DE INVESTIMENTO EM COTAS DO</w:t>
      </w:r>
      <w:r w:rsidR="00855DD8">
        <w:rPr>
          <w:rFonts w:cs="Arial"/>
          <w:bCs/>
        </w:rPr>
        <w:t xml:space="preserve"> </w:t>
      </w:r>
      <w:r w:rsidR="00A936EB" w:rsidRPr="00A936EB">
        <w:rPr>
          <w:rFonts w:cs="Arial"/>
          <w:bCs/>
        </w:rPr>
        <w:t>WESTERN ASSET HIGH GRADE ONE FUNDO DE INVESTIMENTO EM COTAS DE FUNDOS DE INVESTIMENTO EM DIREITOS CREDITÓRIOS</w:t>
      </w:r>
      <w:r w:rsidR="00A936EB" w:rsidRPr="00A17E31">
        <w:rPr>
          <w:rFonts w:cs="Arial"/>
          <w:bCs/>
        </w:rPr>
        <w:t xml:space="preserve"> RESPONSABILIDADE LIMITADA</w:t>
      </w:r>
      <w:r>
        <w:rPr>
          <w:rFonts w:cs="Arial"/>
        </w:rPr>
        <w:t xml:space="preserve"> </w:t>
      </w:r>
    </w:p>
    <w:p w14:paraId="078DF8EC" w14:textId="77777777" w:rsidR="00DA6D67" w:rsidRPr="009147A8" w:rsidRDefault="00DA6D67" w:rsidP="00DA6D67">
      <w:pPr>
        <w:pStyle w:val="Ttulo"/>
        <w:spacing w:after="120"/>
        <w:rPr>
          <w:rFonts w:cs="Arial"/>
          <w:b w:val="0"/>
          <w:bCs/>
        </w:rPr>
      </w:pP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7070"/>
        <w:gridCol w:w="2280"/>
      </w:tblGrid>
      <w:tr w:rsidR="00DA6D67" w:rsidRPr="009147A8" w14:paraId="0258ECCD" w14:textId="77777777" w:rsidTr="00F10451">
        <w:trPr>
          <w:trHeight w:val="403"/>
        </w:trPr>
        <w:tc>
          <w:tcPr>
            <w:tcW w:w="3781" w:type="pct"/>
            <w:tcBorders>
              <w:top w:val="single" w:sz="4" w:space="0" w:color="000000"/>
              <w:bottom w:val="single" w:sz="4" w:space="0" w:color="000000"/>
            </w:tcBorders>
          </w:tcPr>
          <w:p w14:paraId="083DECF2" w14:textId="291AE943" w:rsidR="00DA6D67" w:rsidRPr="009147A8" w:rsidRDefault="00DA6D67" w:rsidP="0013743D">
            <w:pPr>
              <w:widowControl/>
              <w:spacing w:after="120" w:line="240" w:lineRule="auto"/>
              <w:rPr>
                <w:rFonts w:ascii="Arial" w:hAnsi="Arial" w:cs="Arial"/>
                <w:sz w:val="20"/>
                <w:szCs w:val="20"/>
                <w:lang w:val="pt-BR"/>
              </w:rPr>
            </w:pPr>
            <w:r w:rsidRPr="009147A8">
              <w:rPr>
                <w:rFonts w:ascii="Arial" w:hAnsi="Arial" w:cs="Arial"/>
                <w:sz w:val="20"/>
                <w:szCs w:val="20"/>
                <w:u w:val="single"/>
                <w:lang w:val="pt-BR"/>
              </w:rPr>
              <w:t>Emissor</w:t>
            </w:r>
            <w:r w:rsidRPr="009147A8">
              <w:rPr>
                <w:rFonts w:ascii="Arial" w:hAnsi="Arial" w:cs="Arial"/>
                <w:sz w:val="20"/>
                <w:szCs w:val="20"/>
                <w:lang w:val="pt-BR"/>
              </w:rPr>
              <w:t>:</w:t>
            </w:r>
            <w:r w:rsidRPr="009147A8">
              <w:rPr>
                <w:rFonts w:ascii="Arial" w:hAnsi="Arial" w:cs="Arial"/>
                <w:sz w:val="20"/>
                <w:szCs w:val="20"/>
                <w:lang w:val="pt-BR"/>
              </w:rPr>
              <w:br/>
            </w:r>
            <w:r w:rsidR="00A936EB" w:rsidRPr="0013743D">
              <w:rPr>
                <w:rFonts w:ascii="Arial" w:hAnsi="Arial" w:cs="Arial"/>
                <w:b/>
                <w:sz w:val="20"/>
                <w:szCs w:val="20"/>
                <w:lang w:val="pt-BR"/>
              </w:rPr>
              <w:t>CLASSE ÚNICA DE INVESTIMENTO EM COTAS DO WESTERN ASSET HIGH GRADE ONE FUNDO DE INVESTIMENTO EM COTAS DE FUNDOS DE INVESTIMENTO EM DIREITOS CREDITÓRIOS RESPONSABILIDADE LIMITADA</w:t>
            </w:r>
          </w:p>
        </w:tc>
        <w:tc>
          <w:tcPr>
            <w:tcW w:w="1219" w:type="pct"/>
            <w:tcBorders>
              <w:top w:val="single" w:sz="4" w:space="0" w:color="000000"/>
              <w:bottom w:val="single" w:sz="4" w:space="0" w:color="000000"/>
            </w:tcBorders>
          </w:tcPr>
          <w:p w14:paraId="4AB7A59A" w14:textId="4B8704DB" w:rsidR="00DA6D67" w:rsidRPr="009147A8" w:rsidRDefault="00DA6D67" w:rsidP="00F10451">
            <w:pPr>
              <w:widowControl/>
              <w:spacing w:after="120" w:line="240" w:lineRule="auto"/>
              <w:jc w:val="left"/>
              <w:rPr>
                <w:rFonts w:ascii="Arial" w:hAnsi="Arial" w:cs="Arial"/>
                <w:sz w:val="20"/>
                <w:szCs w:val="20"/>
              </w:rPr>
            </w:pPr>
            <w:r w:rsidRPr="009147A8">
              <w:rPr>
                <w:rFonts w:ascii="Arial" w:hAnsi="Arial" w:cs="Arial"/>
                <w:sz w:val="20"/>
                <w:szCs w:val="20"/>
                <w:u w:val="single"/>
              </w:rPr>
              <w:t>CNPJ</w:t>
            </w:r>
            <w:r w:rsidRPr="009147A8">
              <w:rPr>
                <w:rFonts w:ascii="Arial" w:hAnsi="Arial" w:cs="Arial"/>
                <w:sz w:val="20"/>
                <w:szCs w:val="20"/>
              </w:rPr>
              <w:t>:</w:t>
            </w:r>
            <w:r w:rsidRPr="009147A8">
              <w:rPr>
                <w:rFonts w:ascii="Arial" w:hAnsi="Arial" w:cs="Arial"/>
                <w:sz w:val="20"/>
                <w:szCs w:val="20"/>
              </w:rPr>
              <w:br/>
            </w:r>
            <w:r w:rsidR="00A936EB" w:rsidRPr="0013743D">
              <w:rPr>
                <w:rFonts w:ascii="Arial" w:hAnsi="Arial" w:cs="Arial"/>
                <w:color w:val="000000"/>
                <w:sz w:val="20"/>
                <w:szCs w:val="20"/>
              </w:rPr>
              <w:t>55.507.846/0001-04</w:t>
            </w:r>
          </w:p>
        </w:tc>
      </w:tr>
      <w:tr w:rsidR="00DA6D67" w:rsidRPr="009147A8" w14:paraId="44604A72" w14:textId="77777777" w:rsidTr="00F10451">
        <w:trPr>
          <w:trHeight w:val="403"/>
        </w:trPr>
        <w:tc>
          <w:tcPr>
            <w:tcW w:w="3781" w:type="pct"/>
            <w:tcBorders>
              <w:top w:val="single" w:sz="4" w:space="0" w:color="000000"/>
              <w:bottom w:val="single" w:sz="4" w:space="0" w:color="000000"/>
            </w:tcBorders>
          </w:tcPr>
          <w:p w14:paraId="28811E82" w14:textId="4ADEBD4A" w:rsidR="00DA6D67" w:rsidRPr="005D39F6" w:rsidRDefault="00DA6D67" w:rsidP="00F10451">
            <w:pPr>
              <w:widowControl/>
              <w:spacing w:after="120" w:line="240" w:lineRule="auto"/>
              <w:jc w:val="left"/>
              <w:rPr>
                <w:rFonts w:ascii="Arial" w:hAnsi="Arial" w:cs="Arial"/>
                <w:sz w:val="20"/>
                <w:szCs w:val="20"/>
                <w:lang w:val="pt-BR"/>
              </w:rPr>
            </w:pPr>
            <w:r w:rsidRPr="005D39F6">
              <w:rPr>
                <w:rFonts w:ascii="Arial" w:hAnsi="Arial" w:cs="Arial"/>
                <w:sz w:val="20"/>
                <w:szCs w:val="20"/>
                <w:u w:val="single"/>
                <w:lang w:val="pt-BR"/>
              </w:rPr>
              <w:t>Número do Boletim de Subscrição</w:t>
            </w:r>
            <w:r w:rsidRPr="005D39F6">
              <w:rPr>
                <w:rFonts w:ascii="Arial" w:hAnsi="Arial" w:cs="Arial"/>
                <w:sz w:val="20"/>
                <w:szCs w:val="20"/>
                <w:lang w:val="pt-BR"/>
              </w:rPr>
              <w:t>:</w:t>
            </w:r>
            <w:r w:rsidRPr="005D39F6">
              <w:rPr>
                <w:rFonts w:ascii="Arial" w:hAnsi="Arial" w:cs="Arial"/>
                <w:sz w:val="20"/>
                <w:szCs w:val="20"/>
                <w:lang w:val="pt-BR"/>
              </w:rPr>
              <w:br/>
            </w:r>
            <w:r w:rsidR="005D39F6" w:rsidRPr="00A17E31">
              <w:rPr>
                <w:rFonts w:ascii="Arial" w:hAnsi="Arial" w:cs="Arial"/>
                <w:b/>
                <w:bCs/>
                <w:sz w:val="20"/>
                <w:szCs w:val="20"/>
                <w:lang w:val="pt-BR"/>
              </w:rPr>
              <w:t>[●]</w:t>
            </w:r>
          </w:p>
        </w:tc>
        <w:tc>
          <w:tcPr>
            <w:tcW w:w="1219" w:type="pct"/>
            <w:tcBorders>
              <w:top w:val="single" w:sz="4" w:space="0" w:color="000000"/>
              <w:bottom w:val="single" w:sz="4" w:space="0" w:color="000000"/>
            </w:tcBorders>
          </w:tcPr>
          <w:p w14:paraId="7C7C373E" w14:textId="77777777" w:rsidR="00DA6D67" w:rsidRPr="005D39F6" w:rsidRDefault="00DA6D67" w:rsidP="00F10451">
            <w:pPr>
              <w:widowControl/>
              <w:spacing w:after="120" w:line="240" w:lineRule="auto"/>
              <w:jc w:val="left"/>
              <w:rPr>
                <w:rFonts w:ascii="Arial" w:hAnsi="Arial" w:cs="Arial"/>
                <w:sz w:val="20"/>
                <w:szCs w:val="20"/>
              </w:rPr>
            </w:pPr>
            <w:r w:rsidRPr="005D39F6">
              <w:rPr>
                <w:rFonts w:ascii="Arial" w:hAnsi="Arial" w:cs="Arial"/>
                <w:sz w:val="20"/>
                <w:szCs w:val="20"/>
                <w:u w:val="single"/>
              </w:rPr>
              <w:t xml:space="preserve">Data de </w:t>
            </w:r>
            <w:r w:rsidRPr="005D39F6">
              <w:rPr>
                <w:rFonts w:ascii="Arial" w:hAnsi="Arial" w:cs="Arial"/>
                <w:sz w:val="20"/>
                <w:szCs w:val="20"/>
                <w:u w:val="single"/>
                <w:lang w:val="pt-BR"/>
              </w:rPr>
              <w:t>Subscrição</w:t>
            </w:r>
            <w:r w:rsidRPr="005D39F6">
              <w:rPr>
                <w:rFonts w:ascii="Arial" w:hAnsi="Arial" w:cs="Arial"/>
                <w:sz w:val="20"/>
                <w:szCs w:val="20"/>
              </w:rPr>
              <w:t>:</w:t>
            </w:r>
            <w:r w:rsidRPr="005D39F6">
              <w:rPr>
                <w:rFonts w:ascii="Arial" w:hAnsi="Arial" w:cs="Arial"/>
                <w:sz w:val="20"/>
                <w:szCs w:val="20"/>
              </w:rPr>
              <w:br/>
            </w:r>
            <w:r w:rsidRPr="005D39F6">
              <w:rPr>
                <w:rFonts w:ascii="Arial" w:hAnsi="Arial" w:cs="Arial"/>
                <w:b/>
                <w:bCs/>
                <w:sz w:val="20"/>
                <w:szCs w:val="20"/>
              </w:rPr>
              <w:t>[</w:t>
            </w:r>
            <w:r w:rsidRPr="0013743D">
              <w:rPr>
                <w:rFonts w:ascii="Arial" w:hAnsi="Arial" w:cs="Arial"/>
                <w:sz w:val="20"/>
                <w:szCs w:val="20"/>
              </w:rPr>
              <w:t>●</w:t>
            </w:r>
            <w:r w:rsidRPr="005D39F6">
              <w:rPr>
                <w:rFonts w:ascii="Arial" w:hAnsi="Arial" w:cs="Arial"/>
                <w:b/>
                <w:bCs/>
                <w:sz w:val="20"/>
                <w:szCs w:val="20"/>
              </w:rPr>
              <w:t>]</w:t>
            </w:r>
          </w:p>
        </w:tc>
      </w:tr>
    </w:tbl>
    <w:p w14:paraId="3D14DA3F" w14:textId="77777777" w:rsidR="00DA6D67" w:rsidRPr="009147A8" w:rsidRDefault="00DA6D67" w:rsidP="00DA6D67">
      <w:pPr>
        <w:widowControl/>
        <w:spacing w:after="120" w:line="240" w:lineRule="auto"/>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434"/>
        <w:gridCol w:w="1227"/>
        <w:gridCol w:w="2689"/>
      </w:tblGrid>
      <w:tr w:rsidR="00DA6D67" w:rsidRPr="009147A8" w14:paraId="5B68B233" w14:textId="77777777" w:rsidTr="00F10451">
        <w:trPr>
          <w:cantSplit/>
          <w:trHeight w:val="384"/>
        </w:trPr>
        <w:tc>
          <w:tcPr>
            <w:tcW w:w="3562" w:type="pct"/>
            <w:gridSpan w:val="2"/>
          </w:tcPr>
          <w:p w14:paraId="64056CC4" w14:textId="5DA3DFBA"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u w:val="single"/>
                <w:lang w:val="pt-BR"/>
              </w:rPr>
              <w:t>Administrador e Distribuidor</w:t>
            </w:r>
            <w:r w:rsidRPr="009147A8">
              <w:rPr>
                <w:rFonts w:ascii="Arial" w:hAnsi="Arial" w:cs="Arial"/>
                <w:sz w:val="20"/>
                <w:szCs w:val="20"/>
                <w:lang w:val="pt-BR"/>
              </w:rPr>
              <w:t>:</w:t>
            </w:r>
            <w:r w:rsidRPr="009147A8">
              <w:rPr>
                <w:rFonts w:ascii="Arial" w:hAnsi="Arial" w:cs="Arial"/>
                <w:sz w:val="20"/>
                <w:szCs w:val="20"/>
                <w:lang w:val="pt-BR"/>
              </w:rPr>
              <w:br/>
            </w:r>
            <w:r w:rsidR="00A936EB" w:rsidRPr="0013743D">
              <w:rPr>
                <w:rFonts w:ascii="Arial" w:hAnsi="Arial" w:cs="Arial"/>
                <w:color w:val="000000"/>
                <w:sz w:val="20"/>
                <w:szCs w:val="20"/>
                <w:lang w:val="pt-BR"/>
              </w:rPr>
              <w:t>BTG Pactual Serviços Financeiros S.A. DTVM</w:t>
            </w:r>
            <w:r w:rsidR="00A936EB" w:rsidRPr="00A936EB" w:rsidDel="00A936EB">
              <w:rPr>
                <w:rFonts w:ascii="Arial" w:hAnsi="Arial" w:cs="Arial"/>
                <w:b/>
                <w:bCs/>
                <w:color w:val="000000"/>
                <w:sz w:val="20"/>
                <w:szCs w:val="20"/>
                <w:lang w:val="pt-BR"/>
              </w:rPr>
              <w:t xml:space="preserve"> </w:t>
            </w:r>
          </w:p>
        </w:tc>
        <w:tc>
          <w:tcPr>
            <w:tcW w:w="1438" w:type="pct"/>
          </w:tcPr>
          <w:p w14:paraId="3F2A78CA" w14:textId="04475552" w:rsidR="00DA6D67" w:rsidRPr="009147A8" w:rsidRDefault="00DA6D67" w:rsidP="00F10451">
            <w:pPr>
              <w:widowControl/>
              <w:spacing w:after="120" w:line="240" w:lineRule="auto"/>
              <w:jc w:val="left"/>
              <w:rPr>
                <w:rFonts w:ascii="Arial" w:hAnsi="Arial" w:cs="Arial"/>
                <w:sz w:val="20"/>
                <w:szCs w:val="20"/>
              </w:rPr>
            </w:pPr>
            <w:r w:rsidRPr="009147A8">
              <w:rPr>
                <w:rFonts w:ascii="Arial" w:hAnsi="Arial" w:cs="Arial"/>
                <w:sz w:val="20"/>
                <w:szCs w:val="20"/>
                <w:u w:val="single"/>
              </w:rPr>
              <w:t>CNPJ</w:t>
            </w:r>
            <w:r w:rsidRPr="009147A8">
              <w:rPr>
                <w:rFonts w:ascii="Arial" w:hAnsi="Arial" w:cs="Arial"/>
                <w:sz w:val="20"/>
                <w:szCs w:val="20"/>
              </w:rPr>
              <w:t>:</w:t>
            </w:r>
            <w:r w:rsidRPr="009147A8">
              <w:rPr>
                <w:rFonts w:ascii="Arial" w:hAnsi="Arial" w:cs="Arial"/>
                <w:sz w:val="20"/>
                <w:szCs w:val="20"/>
              </w:rPr>
              <w:br/>
            </w:r>
            <w:r w:rsidR="00A936EB" w:rsidRPr="0013743D">
              <w:rPr>
                <w:rFonts w:ascii="Arial" w:hAnsi="Arial" w:cs="Arial"/>
                <w:color w:val="000000"/>
                <w:sz w:val="20"/>
                <w:szCs w:val="20"/>
                <w:lang w:val="pt-BR"/>
              </w:rPr>
              <w:t>59.281.253/0001-23</w:t>
            </w:r>
          </w:p>
        </w:tc>
      </w:tr>
      <w:tr w:rsidR="00DA6D67" w:rsidRPr="009147A8" w14:paraId="02117584" w14:textId="77777777" w:rsidTr="00F10451">
        <w:trPr>
          <w:trHeight w:val="384"/>
        </w:trPr>
        <w:tc>
          <w:tcPr>
            <w:tcW w:w="2906" w:type="pct"/>
          </w:tcPr>
          <w:p w14:paraId="5A89400B" w14:textId="3A3B7FA6"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u w:val="single"/>
                <w:lang w:val="pt-BR"/>
              </w:rPr>
              <w:t>Endereço</w:t>
            </w:r>
            <w:r w:rsidRPr="009147A8">
              <w:rPr>
                <w:rFonts w:ascii="Arial" w:hAnsi="Arial" w:cs="Arial"/>
                <w:sz w:val="20"/>
                <w:szCs w:val="20"/>
                <w:lang w:val="pt-BR"/>
              </w:rPr>
              <w:t>:</w:t>
            </w:r>
            <w:r w:rsidRPr="009147A8">
              <w:rPr>
                <w:rFonts w:ascii="Arial" w:hAnsi="Arial" w:cs="Arial"/>
                <w:sz w:val="20"/>
                <w:szCs w:val="20"/>
                <w:lang w:val="pt-BR"/>
              </w:rPr>
              <w:br/>
            </w:r>
            <w:r w:rsidR="00A936EB" w:rsidRPr="00A17E31">
              <w:rPr>
                <w:rFonts w:ascii="Arial" w:hAnsi="Arial" w:cs="Arial"/>
                <w:color w:val="000000"/>
                <w:sz w:val="20"/>
                <w:szCs w:val="20"/>
                <w:lang w:val="pt-BR"/>
              </w:rPr>
              <w:t>Praia de Botafogo, nº 501, 5º andar - parte, Torre Corcovado, Botafogo, CEP 22250-040</w:t>
            </w:r>
          </w:p>
        </w:tc>
        <w:tc>
          <w:tcPr>
            <w:tcW w:w="656" w:type="pct"/>
          </w:tcPr>
          <w:p w14:paraId="5E6AC6F4" w14:textId="47381BD5"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u w:val="single"/>
                <w:lang w:val="pt-BR"/>
              </w:rPr>
              <w:t>Cidade</w:t>
            </w:r>
            <w:r w:rsidRPr="009147A8">
              <w:rPr>
                <w:rFonts w:ascii="Arial" w:hAnsi="Arial" w:cs="Arial"/>
                <w:sz w:val="20"/>
                <w:szCs w:val="20"/>
                <w:lang w:val="pt-BR"/>
              </w:rPr>
              <w:t>:</w:t>
            </w:r>
            <w:r w:rsidRPr="009147A8">
              <w:rPr>
                <w:rFonts w:ascii="Arial" w:hAnsi="Arial" w:cs="Arial"/>
                <w:sz w:val="20"/>
                <w:szCs w:val="20"/>
                <w:lang w:val="pt-BR"/>
              </w:rPr>
              <w:br/>
            </w:r>
            <w:r w:rsidR="00A936EB" w:rsidRPr="0013743D">
              <w:rPr>
                <w:rFonts w:ascii="Arial" w:hAnsi="Arial" w:cs="Arial"/>
                <w:sz w:val="20"/>
                <w:szCs w:val="20"/>
                <w:lang w:val="pt-BR"/>
              </w:rPr>
              <w:t>Rio de Janeiro</w:t>
            </w:r>
          </w:p>
        </w:tc>
        <w:tc>
          <w:tcPr>
            <w:tcW w:w="1438" w:type="pct"/>
          </w:tcPr>
          <w:p w14:paraId="415F5A21" w14:textId="7BF79D39" w:rsidR="00DA6D67" w:rsidRPr="009147A8" w:rsidRDefault="00DA6D67" w:rsidP="00F10451">
            <w:pPr>
              <w:widowControl/>
              <w:spacing w:after="120" w:line="240" w:lineRule="auto"/>
              <w:jc w:val="left"/>
              <w:rPr>
                <w:rFonts w:ascii="Arial" w:hAnsi="Arial" w:cs="Arial"/>
                <w:sz w:val="20"/>
                <w:szCs w:val="20"/>
              </w:rPr>
            </w:pPr>
            <w:r w:rsidRPr="009147A8">
              <w:rPr>
                <w:rFonts w:ascii="Arial" w:hAnsi="Arial" w:cs="Arial"/>
                <w:sz w:val="20"/>
                <w:szCs w:val="20"/>
                <w:u w:val="single"/>
              </w:rPr>
              <w:t>UF</w:t>
            </w:r>
            <w:r w:rsidRPr="009147A8">
              <w:rPr>
                <w:rFonts w:ascii="Arial" w:hAnsi="Arial" w:cs="Arial"/>
                <w:sz w:val="20"/>
                <w:szCs w:val="20"/>
              </w:rPr>
              <w:t>:</w:t>
            </w:r>
            <w:r w:rsidRPr="009147A8">
              <w:rPr>
                <w:rFonts w:ascii="Arial" w:hAnsi="Arial" w:cs="Arial"/>
                <w:sz w:val="20"/>
                <w:szCs w:val="20"/>
              </w:rPr>
              <w:br/>
            </w:r>
            <w:r w:rsidR="00A936EB" w:rsidRPr="0013743D">
              <w:rPr>
                <w:rFonts w:ascii="Arial" w:hAnsi="Arial" w:cs="Arial"/>
                <w:sz w:val="20"/>
                <w:szCs w:val="20"/>
              </w:rPr>
              <w:t>RJ</w:t>
            </w:r>
          </w:p>
        </w:tc>
      </w:tr>
    </w:tbl>
    <w:p w14:paraId="72D5EE0A" w14:textId="77777777" w:rsidR="00DA6D67" w:rsidRPr="009147A8" w:rsidRDefault="00DA6D67" w:rsidP="00DA6D67">
      <w:pPr>
        <w:widowControl/>
        <w:spacing w:after="120" w:line="240" w:lineRule="auto"/>
        <w:rPr>
          <w:rFonts w:ascii="Arial" w:hAnsi="Arial" w:cs="Arial"/>
          <w:b/>
          <w:bCs/>
          <w:sz w:val="20"/>
          <w:szCs w:val="20"/>
          <w:lang w:val="pt-BR"/>
        </w:rPr>
      </w:pPr>
      <w:r w:rsidRPr="009147A8">
        <w:rPr>
          <w:rFonts w:ascii="Arial" w:hAnsi="Arial" w:cs="Arial"/>
          <w:sz w:val="20"/>
          <w:szCs w:val="20"/>
        </w:rPr>
        <w:br/>
      </w:r>
      <w:r w:rsidRPr="009147A8">
        <w:rPr>
          <w:rFonts w:ascii="Arial" w:hAnsi="Arial" w:cs="Arial"/>
          <w:b/>
          <w:bCs/>
          <w:sz w:val="20"/>
          <w:szCs w:val="20"/>
          <w:lang w:val="pt-BR"/>
        </w:rPr>
        <w:t>Características do Emissor</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9350"/>
      </w:tblGrid>
      <w:tr w:rsidR="00DA6D67" w:rsidRPr="00A17E31" w14:paraId="4277A150" w14:textId="77777777" w:rsidTr="00F10451">
        <w:trPr>
          <w:trHeight w:val="1105"/>
        </w:trPr>
        <w:tc>
          <w:tcPr>
            <w:tcW w:w="5000" w:type="pct"/>
            <w:tcBorders>
              <w:top w:val="single" w:sz="4" w:space="0" w:color="000000"/>
              <w:bottom w:val="single" w:sz="4" w:space="0" w:color="000000"/>
            </w:tcBorders>
          </w:tcPr>
          <w:p w14:paraId="1419F278" w14:textId="3C363F85" w:rsidR="00DA6D67" w:rsidRPr="009147A8" w:rsidRDefault="00A936EB" w:rsidP="00F10451">
            <w:pPr>
              <w:widowControl/>
              <w:spacing w:after="120" w:line="240" w:lineRule="auto"/>
              <w:rPr>
                <w:rFonts w:ascii="Arial" w:hAnsi="Arial" w:cs="Arial"/>
                <w:sz w:val="20"/>
                <w:szCs w:val="20"/>
                <w:lang w:val="pt-BR"/>
              </w:rPr>
            </w:pPr>
            <w:r w:rsidRPr="0013743D">
              <w:rPr>
                <w:rFonts w:ascii="Arial" w:hAnsi="Arial" w:cs="Arial"/>
                <w:sz w:val="20"/>
                <w:szCs w:val="20"/>
                <w:lang w:val="pt-BR"/>
              </w:rPr>
              <w:t>A</w:t>
            </w:r>
            <w:r>
              <w:rPr>
                <w:rFonts w:ascii="Arial" w:hAnsi="Arial" w:cs="Arial"/>
                <w:b/>
                <w:bCs/>
                <w:sz w:val="20"/>
                <w:szCs w:val="20"/>
                <w:lang w:val="pt-BR"/>
              </w:rPr>
              <w:t xml:space="preserve"> </w:t>
            </w:r>
            <w:r w:rsidR="007C6C6F" w:rsidRPr="00A936EB">
              <w:rPr>
                <w:rFonts w:ascii="Arial" w:hAnsi="Arial" w:cs="Arial"/>
                <w:b/>
                <w:bCs/>
                <w:sz w:val="20"/>
                <w:szCs w:val="20"/>
                <w:lang w:val="pt-BR"/>
              </w:rPr>
              <w:t>CLASSE ÚNICA DE INVESTIMENTO EM COTAS DO WESTERN ASSET HIGH GRADE ONE FUNDO DE INVESTIMENTO EM COTAS DE FUNDOS DE INVESTIMENTO EM DIREITOS CREDITÓRIOS RESPONSABILIDADE LIMITADA</w:t>
            </w:r>
            <w:r w:rsidR="00DA6D67" w:rsidRPr="00A936EB">
              <w:rPr>
                <w:rFonts w:ascii="Arial" w:hAnsi="Arial" w:cs="Arial"/>
                <w:b/>
                <w:bCs/>
                <w:sz w:val="20"/>
                <w:szCs w:val="20"/>
                <w:lang w:val="pt-BR"/>
              </w:rPr>
              <w:t>,</w:t>
            </w:r>
            <w:r w:rsidR="00DA6D67" w:rsidRPr="009147A8">
              <w:rPr>
                <w:sz w:val="20"/>
                <w:szCs w:val="20"/>
                <w:lang w:val="pt-BR"/>
              </w:rPr>
              <w:t xml:space="preserve"> </w:t>
            </w:r>
            <w:r w:rsidR="00DA6D67" w:rsidRPr="009147A8">
              <w:rPr>
                <w:rFonts w:ascii="Arial" w:hAnsi="Arial" w:cs="Arial"/>
                <w:sz w:val="20"/>
                <w:szCs w:val="20"/>
                <w:lang w:val="pt-BR"/>
              </w:rPr>
              <w:t>constituíd</w:t>
            </w:r>
            <w:r w:rsidR="00D5093F">
              <w:rPr>
                <w:rFonts w:ascii="Arial" w:hAnsi="Arial" w:cs="Arial"/>
                <w:sz w:val="20"/>
                <w:szCs w:val="20"/>
                <w:lang w:val="pt-BR"/>
              </w:rPr>
              <w:t>a</w:t>
            </w:r>
            <w:r w:rsidR="00DA6D67" w:rsidRPr="009147A8">
              <w:rPr>
                <w:rFonts w:ascii="Arial" w:hAnsi="Arial" w:cs="Arial"/>
                <w:sz w:val="20"/>
                <w:szCs w:val="20"/>
                <w:lang w:val="pt-BR"/>
              </w:rPr>
              <w:t xml:space="preserve"> sob a forma de condomínio fechado, e registrad</w:t>
            </w:r>
            <w:r w:rsidR="00D5093F">
              <w:rPr>
                <w:rFonts w:ascii="Arial" w:hAnsi="Arial" w:cs="Arial"/>
                <w:sz w:val="20"/>
                <w:szCs w:val="20"/>
                <w:lang w:val="pt-BR"/>
              </w:rPr>
              <w:t>a</w:t>
            </w:r>
            <w:r w:rsidR="00DA6D67" w:rsidRPr="009147A8">
              <w:rPr>
                <w:rFonts w:ascii="Arial" w:hAnsi="Arial" w:cs="Arial"/>
                <w:sz w:val="20"/>
                <w:szCs w:val="20"/>
                <w:lang w:val="pt-BR"/>
              </w:rPr>
              <w:t xml:space="preserve"> nos termos d</w:t>
            </w:r>
            <w:r w:rsidR="00030855">
              <w:rPr>
                <w:rFonts w:ascii="Arial" w:hAnsi="Arial" w:cs="Arial"/>
                <w:sz w:val="20"/>
                <w:szCs w:val="20"/>
                <w:lang w:val="pt-BR"/>
              </w:rPr>
              <w:t xml:space="preserve">o Anexo </w:t>
            </w:r>
            <w:r>
              <w:rPr>
                <w:rFonts w:ascii="Arial" w:hAnsi="Arial" w:cs="Arial"/>
                <w:sz w:val="20"/>
                <w:szCs w:val="20"/>
                <w:lang w:val="pt-BR"/>
              </w:rPr>
              <w:t xml:space="preserve">II </w:t>
            </w:r>
            <w:r w:rsidR="00030855">
              <w:rPr>
                <w:rFonts w:ascii="Arial" w:hAnsi="Arial" w:cs="Arial"/>
                <w:sz w:val="20"/>
                <w:szCs w:val="20"/>
                <w:lang w:val="pt-BR"/>
              </w:rPr>
              <w:t>d</w:t>
            </w:r>
            <w:r w:rsidR="00DA6D67" w:rsidRPr="009147A8">
              <w:rPr>
                <w:rFonts w:ascii="Arial" w:hAnsi="Arial" w:cs="Arial"/>
                <w:sz w:val="20"/>
                <w:szCs w:val="20"/>
                <w:lang w:val="pt-BR"/>
              </w:rPr>
              <w:t>a Resolução da Comissão de Valores Mobiliários (“</w:t>
            </w:r>
            <w:r w:rsidR="00DA6D67" w:rsidRPr="00240B38">
              <w:rPr>
                <w:rFonts w:ascii="Arial" w:hAnsi="Arial" w:cs="Arial"/>
                <w:b/>
                <w:bCs/>
                <w:sz w:val="20"/>
                <w:szCs w:val="20"/>
                <w:lang w:val="pt-BR"/>
              </w:rPr>
              <w:t>CVM</w:t>
            </w:r>
            <w:r w:rsidR="00DA6D67" w:rsidRPr="009147A8">
              <w:rPr>
                <w:rFonts w:ascii="Arial" w:hAnsi="Arial" w:cs="Arial"/>
                <w:sz w:val="20"/>
                <w:szCs w:val="20"/>
                <w:lang w:val="pt-BR"/>
              </w:rPr>
              <w:t>”) nº 175, de 23 de dezembro de 2022, conforme alterada (</w:t>
            </w:r>
            <w:r w:rsidR="00D5093F">
              <w:rPr>
                <w:rFonts w:ascii="Arial" w:hAnsi="Arial" w:cs="Arial"/>
                <w:sz w:val="20"/>
                <w:szCs w:val="20"/>
                <w:lang w:val="pt-BR"/>
              </w:rPr>
              <w:t>“</w:t>
            </w:r>
            <w:r w:rsidR="00D5093F" w:rsidRPr="00D5093F">
              <w:rPr>
                <w:rFonts w:ascii="Arial" w:hAnsi="Arial" w:cs="Arial"/>
                <w:b/>
                <w:bCs/>
                <w:sz w:val="20"/>
                <w:szCs w:val="20"/>
                <w:lang w:val="pt-BR"/>
              </w:rPr>
              <w:t>Classe</w:t>
            </w:r>
            <w:r>
              <w:rPr>
                <w:rFonts w:ascii="Arial" w:hAnsi="Arial" w:cs="Arial"/>
                <w:b/>
                <w:bCs/>
                <w:sz w:val="20"/>
                <w:szCs w:val="20"/>
                <w:lang w:val="pt-BR"/>
              </w:rPr>
              <w:t xml:space="preserve"> Única</w:t>
            </w:r>
            <w:r w:rsidR="00D5093F">
              <w:rPr>
                <w:rFonts w:ascii="Arial" w:hAnsi="Arial" w:cs="Arial"/>
                <w:sz w:val="20"/>
                <w:szCs w:val="20"/>
                <w:lang w:val="pt-BR"/>
              </w:rPr>
              <w:t xml:space="preserve">” e </w:t>
            </w:r>
            <w:r w:rsidR="00DA6D67" w:rsidRPr="009147A8">
              <w:rPr>
                <w:rFonts w:ascii="Arial" w:hAnsi="Arial" w:cs="Arial"/>
                <w:sz w:val="20"/>
                <w:szCs w:val="20"/>
                <w:lang w:val="pt-BR"/>
              </w:rPr>
              <w:t>“</w:t>
            </w:r>
            <w:r w:rsidR="00DA6D67" w:rsidRPr="00240B38">
              <w:rPr>
                <w:rFonts w:ascii="Arial" w:hAnsi="Arial" w:cs="Arial"/>
                <w:b/>
                <w:bCs/>
                <w:sz w:val="20"/>
                <w:szCs w:val="20"/>
                <w:lang w:val="pt-BR"/>
              </w:rPr>
              <w:t>Resolução CVM 175</w:t>
            </w:r>
            <w:r w:rsidR="00DA6D67" w:rsidRPr="009147A8">
              <w:rPr>
                <w:rFonts w:ascii="Arial" w:hAnsi="Arial" w:cs="Arial"/>
                <w:sz w:val="20"/>
                <w:szCs w:val="20"/>
                <w:lang w:val="pt-BR"/>
              </w:rPr>
              <w:t>”</w:t>
            </w:r>
            <w:r w:rsidR="00D5093F">
              <w:rPr>
                <w:rFonts w:ascii="Arial" w:hAnsi="Arial" w:cs="Arial"/>
                <w:sz w:val="20"/>
                <w:szCs w:val="20"/>
                <w:lang w:val="pt-BR"/>
              </w:rPr>
              <w:t>, respectivamente</w:t>
            </w:r>
            <w:r w:rsidR="00DA6D67" w:rsidRPr="009147A8">
              <w:rPr>
                <w:rFonts w:ascii="Arial" w:hAnsi="Arial" w:cs="Arial"/>
                <w:sz w:val="20"/>
                <w:szCs w:val="20"/>
                <w:lang w:val="pt-BR"/>
              </w:rPr>
              <w:t>), sendo regid</w:t>
            </w:r>
            <w:r w:rsidR="00D5093F">
              <w:rPr>
                <w:rFonts w:ascii="Arial" w:hAnsi="Arial" w:cs="Arial"/>
                <w:sz w:val="20"/>
                <w:szCs w:val="20"/>
                <w:lang w:val="pt-BR"/>
              </w:rPr>
              <w:t>a</w:t>
            </w:r>
            <w:r w:rsidR="00DA6D67" w:rsidRPr="009147A8">
              <w:rPr>
                <w:rFonts w:ascii="Arial" w:hAnsi="Arial" w:cs="Arial"/>
                <w:sz w:val="20"/>
                <w:szCs w:val="20"/>
                <w:lang w:val="pt-BR"/>
              </w:rPr>
              <w:t xml:space="preserve"> </w:t>
            </w:r>
            <w:r w:rsidR="00D5093F">
              <w:rPr>
                <w:rFonts w:ascii="Arial" w:hAnsi="Arial" w:cs="Arial"/>
                <w:sz w:val="20"/>
                <w:szCs w:val="20"/>
                <w:lang w:val="pt-BR"/>
              </w:rPr>
              <w:t xml:space="preserve">na forma do Anexo </w:t>
            </w:r>
            <w:r>
              <w:rPr>
                <w:rFonts w:ascii="Arial" w:hAnsi="Arial" w:cs="Arial"/>
                <w:sz w:val="20"/>
                <w:szCs w:val="20"/>
                <w:lang w:val="pt-BR"/>
              </w:rPr>
              <w:t xml:space="preserve">Descritivo </w:t>
            </w:r>
            <w:r w:rsidR="00D5093F">
              <w:rPr>
                <w:rFonts w:ascii="Arial" w:hAnsi="Arial" w:cs="Arial"/>
                <w:sz w:val="20"/>
                <w:szCs w:val="20"/>
                <w:lang w:val="pt-BR"/>
              </w:rPr>
              <w:t>ao</w:t>
            </w:r>
            <w:r w:rsidR="00DA6D67" w:rsidRPr="009147A8">
              <w:rPr>
                <w:rFonts w:ascii="Arial" w:hAnsi="Arial" w:cs="Arial"/>
                <w:sz w:val="20"/>
                <w:szCs w:val="20"/>
                <w:lang w:val="pt-BR"/>
              </w:rPr>
              <w:t xml:space="preserve"> </w:t>
            </w:r>
            <w:r w:rsidR="00D5093F">
              <w:rPr>
                <w:rFonts w:ascii="Arial" w:hAnsi="Arial" w:cs="Arial"/>
                <w:sz w:val="20"/>
                <w:szCs w:val="20"/>
                <w:lang w:val="pt-BR"/>
              </w:rPr>
              <w:t>r</w:t>
            </w:r>
            <w:r w:rsidR="00DA6D67" w:rsidRPr="009147A8">
              <w:rPr>
                <w:rFonts w:ascii="Arial" w:hAnsi="Arial" w:cs="Arial"/>
                <w:sz w:val="20"/>
                <w:szCs w:val="20"/>
                <w:lang w:val="pt-BR"/>
              </w:rPr>
              <w:t>egulamento</w:t>
            </w:r>
            <w:r w:rsidR="00D5093F">
              <w:rPr>
                <w:rFonts w:ascii="Arial" w:hAnsi="Arial" w:cs="Arial"/>
                <w:sz w:val="20"/>
                <w:szCs w:val="20"/>
                <w:lang w:val="pt-BR"/>
              </w:rPr>
              <w:t xml:space="preserve"> do </w:t>
            </w:r>
            <w:r w:rsidR="007C6C6F" w:rsidRPr="007C6C6F">
              <w:rPr>
                <w:rFonts w:ascii="Arial" w:hAnsi="Arial" w:cs="Arial"/>
                <w:b/>
                <w:bCs/>
                <w:sz w:val="20"/>
                <w:szCs w:val="20"/>
                <w:lang w:val="pt-BR"/>
              </w:rPr>
              <w:t>WESTERN ASSET HIGH GRADE ONE FUNDO DE INVESTIMENTO EM COTAS DE FUNDOS DE INVESTIMENTO EM DIREITOS CREDITÓRIOS RESPONSABILIDADE LIMITADA</w:t>
            </w:r>
            <w:r w:rsidR="00DA6D67" w:rsidRPr="009147A8">
              <w:rPr>
                <w:rFonts w:ascii="Arial" w:hAnsi="Arial" w:cs="Arial"/>
                <w:sz w:val="20"/>
                <w:szCs w:val="20"/>
                <w:lang w:val="pt-BR"/>
              </w:rPr>
              <w:t>,</w:t>
            </w:r>
            <w:r w:rsidR="007C6C6F">
              <w:rPr>
                <w:rFonts w:ascii="Arial" w:hAnsi="Arial" w:cs="Arial"/>
                <w:sz w:val="20"/>
                <w:szCs w:val="20"/>
                <w:lang w:val="pt-BR"/>
              </w:rPr>
              <w:t xml:space="preserve"> </w:t>
            </w:r>
            <w:r w:rsidR="00D5093F">
              <w:rPr>
                <w:rFonts w:ascii="Arial" w:hAnsi="Arial" w:cs="Arial"/>
                <w:sz w:val="20"/>
                <w:szCs w:val="20"/>
                <w:lang w:val="pt-BR"/>
              </w:rPr>
              <w:t xml:space="preserve">inscrito no CNPJ sob o nº </w:t>
            </w:r>
            <w:r w:rsidRPr="00A936EB">
              <w:rPr>
                <w:rFonts w:ascii="Arial" w:hAnsi="Arial" w:cs="Arial"/>
                <w:sz w:val="20"/>
                <w:szCs w:val="20"/>
                <w:lang w:val="pt-BR"/>
              </w:rPr>
              <w:t>59.281.253/0001-23</w:t>
            </w:r>
            <w:r w:rsidR="00D5093F">
              <w:rPr>
                <w:rFonts w:ascii="Arial" w:hAnsi="Arial" w:cs="Arial"/>
                <w:sz w:val="20"/>
                <w:szCs w:val="20"/>
                <w:lang w:val="pt-BR"/>
              </w:rPr>
              <w:t xml:space="preserve"> (“</w:t>
            </w:r>
            <w:r w:rsidR="00D5093F" w:rsidRPr="00D5093F">
              <w:rPr>
                <w:rFonts w:ascii="Arial" w:hAnsi="Arial" w:cs="Arial"/>
                <w:b/>
                <w:bCs/>
                <w:sz w:val="20"/>
                <w:szCs w:val="20"/>
                <w:lang w:val="pt-BR"/>
              </w:rPr>
              <w:t>Fundo</w:t>
            </w:r>
            <w:r w:rsidR="00D5093F">
              <w:rPr>
                <w:rFonts w:ascii="Arial" w:hAnsi="Arial" w:cs="Arial"/>
                <w:sz w:val="20"/>
                <w:szCs w:val="20"/>
                <w:lang w:val="pt-BR"/>
              </w:rPr>
              <w:t>”),</w:t>
            </w:r>
            <w:r w:rsidR="00DA6D67" w:rsidRPr="009147A8">
              <w:rPr>
                <w:rFonts w:ascii="Arial" w:hAnsi="Arial" w:cs="Arial"/>
                <w:sz w:val="20"/>
                <w:szCs w:val="20"/>
                <w:lang w:val="pt-BR"/>
              </w:rPr>
              <w:t xml:space="preserve"> </w:t>
            </w:r>
            <w:r w:rsidR="00D5093F">
              <w:rPr>
                <w:rFonts w:ascii="Arial" w:hAnsi="Arial" w:cs="Arial"/>
                <w:sz w:val="20"/>
                <w:szCs w:val="20"/>
                <w:lang w:val="pt-BR"/>
              </w:rPr>
              <w:t xml:space="preserve">ambos </w:t>
            </w:r>
            <w:r w:rsidR="00DA6D67" w:rsidRPr="009147A8">
              <w:rPr>
                <w:rFonts w:ascii="Arial" w:hAnsi="Arial" w:cs="Arial"/>
                <w:sz w:val="20"/>
                <w:szCs w:val="20"/>
                <w:lang w:val="pt-BR"/>
              </w:rPr>
              <w:t>devidamente registrado</w:t>
            </w:r>
            <w:r w:rsidR="00D5093F">
              <w:rPr>
                <w:rFonts w:ascii="Arial" w:hAnsi="Arial" w:cs="Arial"/>
                <w:sz w:val="20"/>
                <w:szCs w:val="20"/>
                <w:lang w:val="pt-BR"/>
              </w:rPr>
              <w:t>s</w:t>
            </w:r>
            <w:r w:rsidR="00DA6D67" w:rsidRPr="009147A8">
              <w:rPr>
                <w:rFonts w:ascii="Arial" w:hAnsi="Arial" w:cs="Arial"/>
                <w:sz w:val="20"/>
                <w:szCs w:val="20"/>
                <w:lang w:val="pt-BR"/>
              </w:rPr>
              <w:t xml:space="preserve"> perante a CVM, administrado</w:t>
            </w:r>
            <w:r w:rsidR="00D5093F">
              <w:rPr>
                <w:rFonts w:ascii="Arial" w:hAnsi="Arial" w:cs="Arial"/>
                <w:sz w:val="20"/>
                <w:szCs w:val="20"/>
                <w:lang w:val="pt-BR"/>
              </w:rPr>
              <w:t>s</w:t>
            </w:r>
            <w:r w:rsidR="00DA6D67" w:rsidRPr="009147A8">
              <w:rPr>
                <w:rFonts w:ascii="Arial" w:hAnsi="Arial" w:cs="Arial"/>
                <w:sz w:val="20"/>
                <w:szCs w:val="20"/>
                <w:lang w:val="pt-BR"/>
              </w:rPr>
              <w:t xml:space="preserve"> pel</w:t>
            </w:r>
            <w:r w:rsidR="00855DD8">
              <w:rPr>
                <w:rFonts w:ascii="Arial" w:hAnsi="Arial" w:cs="Arial"/>
                <w:sz w:val="20"/>
                <w:szCs w:val="20"/>
                <w:lang w:val="pt-BR"/>
              </w:rPr>
              <w:t>o</w:t>
            </w:r>
            <w:r w:rsidR="00DA6D67" w:rsidRPr="009147A8">
              <w:rPr>
                <w:rFonts w:ascii="Arial" w:hAnsi="Arial" w:cs="Arial"/>
                <w:sz w:val="20"/>
                <w:szCs w:val="20"/>
                <w:lang w:val="pt-BR"/>
              </w:rPr>
              <w:t xml:space="preserve"> </w:t>
            </w:r>
            <w:r w:rsidR="00DA6D67" w:rsidRPr="00DA6D67">
              <w:rPr>
                <w:rFonts w:ascii="Arial" w:hAnsi="Arial" w:cs="Arial"/>
                <w:b/>
                <w:bCs/>
                <w:sz w:val="20"/>
                <w:szCs w:val="20"/>
                <w:lang w:val="pt-BR"/>
              </w:rPr>
              <w:t>BTG PACTUAL SERVIÇOS FINANCEIROS S.A. DTVM</w:t>
            </w:r>
            <w:r w:rsidR="00DA6D67" w:rsidRPr="009147A8">
              <w:rPr>
                <w:rFonts w:ascii="Arial" w:hAnsi="Arial" w:cs="Arial"/>
                <w:sz w:val="20"/>
                <w:szCs w:val="20"/>
                <w:lang w:val="pt-BR"/>
              </w:rPr>
              <w:t>, instituição com sede no Município do Rio de Janeiro, Estado do Rio de Janeiro, na Praia de Botafogo, nº 501, 5º andar – parte, inscrita no CNPJ sob o nº 59.281.253/0001-23 (“</w:t>
            </w:r>
            <w:r w:rsidR="00DA6D67" w:rsidRPr="00240B38">
              <w:rPr>
                <w:rFonts w:ascii="Arial" w:hAnsi="Arial" w:cs="Arial"/>
                <w:b/>
                <w:bCs/>
                <w:sz w:val="20"/>
                <w:szCs w:val="20"/>
                <w:lang w:val="pt-BR"/>
              </w:rPr>
              <w:t>ADMINISTRADOR</w:t>
            </w:r>
            <w:r w:rsidR="00DA6D67" w:rsidRPr="009147A8">
              <w:rPr>
                <w:rFonts w:ascii="Arial" w:hAnsi="Arial" w:cs="Arial"/>
                <w:sz w:val="20"/>
                <w:szCs w:val="20"/>
                <w:lang w:val="pt-BR"/>
              </w:rPr>
              <w:t xml:space="preserve">”), e gerido pela </w:t>
            </w:r>
            <w:r w:rsidR="007C6C6F" w:rsidRPr="007C6C6F">
              <w:rPr>
                <w:rFonts w:ascii="Arial" w:hAnsi="Arial" w:cs="Arial"/>
                <w:b/>
                <w:bCs/>
                <w:sz w:val="20"/>
                <w:szCs w:val="20"/>
                <w:lang w:val="pt-BR"/>
              </w:rPr>
              <w:t xml:space="preserve">WESTERN ASSET MANAGEMENT COMPANY DISTRIBUIDORA DE TÍTULOS E VALORES MOBILIÁRIOS LIMITADA, </w:t>
            </w:r>
            <w:r w:rsidR="007C6C6F" w:rsidRPr="0013743D">
              <w:rPr>
                <w:rFonts w:ascii="Arial" w:hAnsi="Arial" w:cs="Arial"/>
                <w:sz w:val="20"/>
                <w:szCs w:val="20"/>
                <w:lang w:val="pt-BR"/>
              </w:rPr>
              <w:t>sociedade com sede na Cidade e Estado de São Paulo, na Avenida Presidente Juscelino Kubitschek, nº 1.455, 15º andar, conjunto 152, Vila Olímpia, CEP 04544-140, inscrita no CNPJ sob o nº 07.437.241/0001-41</w:t>
            </w:r>
            <w:r w:rsidR="007C6C6F">
              <w:rPr>
                <w:rFonts w:ascii="Arial" w:hAnsi="Arial" w:cs="Arial"/>
                <w:sz w:val="20"/>
                <w:szCs w:val="20"/>
                <w:lang w:val="pt-BR"/>
              </w:rPr>
              <w:t>.</w:t>
            </w:r>
            <w:r w:rsidR="007C6C6F" w:rsidRPr="0013743D">
              <w:rPr>
                <w:rFonts w:ascii="Arial" w:hAnsi="Arial" w:cs="Arial"/>
                <w:sz w:val="20"/>
                <w:szCs w:val="20"/>
                <w:lang w:val="pt-BR"/>
              </w:rPr>
              <w:t xml:space="preserve"> </w:t>
            </w:r>
          </w:p>
        </w:tc>
      </w:tr>
    </w:tbl>
    <w:p w14:paraId="02744AFD" w14:textId="77777777" w:rsidR="00DA6D67" w:rsidRPr="009147A8" w:rsidRDefault="00DA6D67" w:rsidP="00DA6D67">
      <w:pPr>
        <w:widowControl/>
        <w:spacing w:after="120" w:line="240" w:lineRule="auto"/>
        <w:rPr>
          <w:rFonts w:ascii="Arial" w:hAnsi="Arial" w:cs="Arial"/>
          <w:b/>
          <w:bCs/>
          <w:sz w:val="20"/>
          <w:szCs w:val="20"/>
          <w:lang w:val="pt-BR"/>
        </w:rPr>
      </w:pPr>
      <w:r w:rsidRPr="009147A8">
        <w:rPr>
          <w:rFonts w:ascii="Arial" w:hAnsi="Arial" w:cs="Arial"/>
          <w:sz w:val="20"/>
          <w:szCs w:val="20"/>
          <w:lang w:val="pt-BR"/>
        </w:rPr>
        <w:br/>
      </w:r>
      <w:bookmarkStart w:id="0" w:name="_DV_M2"/>
      <w:bookmarkEnd w:id="0"/>
      <w:r w:rsidRPr="009147A8">
        <w:rPr>
          <w:rFonts w:ascii="Arial" w:hAnsi="Arial" w:cs="Arial"/>
          <w:b/>
          <w:bCs/>
          <w:sz w:val="20"/>
          <w:szCs w:val="20"/>
          <w:lang w:val="pt-BR"/>
        </w:rPr>
        <w:t>Características da Emissão</w:t>
      </w:r>
    </w:p>
    <w:tbl>
      <w:tblPr>
        <w:tblW w:w="5000" w:type="pct"/>
        <w:tblBorders>
          <w:top w:val="single" w:sz="4" w:space="0" w:color="000000"/>
          <w:left w:val="single" w:sz="4" w:space="0" w:color="000000"/>
          <w:bottom w:val="single" w:sz="4" w:space="0" w:color="000000"/>
          <w:right w:val="single" w:sz="4" w:space="0" w:color="000000"/>
        </w:tblBorders>
        <w:tblCellMar>
          <w:left w:w="70" w:type="dxa"/>
          <w:right w:w="70" w:type="dxa"/>
        </w:tblCellMar>
        <w:tblLook w:val="0000" w:firstRow="0" w:lastRow="0" w:firstColumn="0" w:lastColumn="0" w:noHBand="0" w:noVBand="0"/>
      </w:tblPr>
      <w:tblGrid>
        <w:gridCol w:w="9350"/>
      </w:tblGrid>
      <w:tr w:rsidR="00DA6D67" w:rsidRPr="00A17E31" w14:paraId="5595286D" w14:textId="77777777" w:rsidTr="00F10451">
        <w:trPr>
          <w:trHeight w:val="1105"/>
        </w:trPr>
        <w:tc>
          <w:tcPr>
            <w:tcW w:w="5000" w:type="pct"/>
            <w:tcBorders>
              <w:top w:val="single" w:sz="4" w:space="0" w:color="000000"/>
              <w:bottom w:val="single" w:sz="4" w:space="0" w:color="000000"/>
            </w:tcBorders>
          </w:tcPr>
          <w:p w14:paraId="426D85FB" w14:textId="2BE493A0" w:rsidR="00DA6D67" w:rsidRDefault="007B75A2" w:rsidP="00F10451">
            <w:pPr>
              <w:widowControl/>
              <w:spacing w:after="120" w:line="240" w:lineRule="auto"/>
              <w:rPr>
                <w:rFonts w:ascii="Arial" w:hAnsi="Arial" w:cs="Arial"/>
                <w:sz w:val="20"/>
                <w:szCs w:val="20"/>
                <w:lang w:val="pt-BR"/>
              </w:rPr>
            </w:pPr>
            <w:r>
              <w:rPr>
                <w:rFonts w:ascii="Arial" w:hAnsi="Arial" w:cs="Arial"/>
                <w:sz w:val="20"/>
                <w:szCs w:val="20"/>
                <w:lang w:val="pt-BR"/>
              </w:rPr>
              <w:t xml:space="preserve">A </w:t>
            </w:r>
            <w:r w:rsidR="00DA6D67" w:rsidRPr="009147A8">
              <w:rPr>
                <w:rFonts w:ascii="Arial" w:hAnsi="Arial" w:cs="Arial"/>
                <w:sz w:val="20"/>
                <w:szCs w:val="20"/>
                <w:lang w:val="pt-BR"/>
              </w:rPr>
              <w:t>Emissão de</w:t>
            </w:r>
            <w:r w:rsidR="007C6C6F">
              <w:rPr>
                <w:rFonts w:ascii="Arial" w:hAnsi="Arial" w:cs="Arial"/>
                <w:sz w:val="20"/>
                <w:szCs w:val="20"/>
                <w:lang w:val="pt-BR"/>
              </w:rPr>
              <w:t xml:space="preserve"> até</w:t>
            </w:r>
            <w:r w:rsidR="007C6C6F" w:rsidRPr="00BC50C6">
              <w:rPr>
                <w:rFonts w:ascii="Arial" w:hAnsi="Arial" w:cs="Arial"/>
                <w:sz w:val="20"/>
                <w:szCs w:val="20"/>
                <w:lang w:val="pt-BR"/>
              </w:rPr>
              <w:t xml:space="preserve"> </w:t>
            </w:r>
            <w:r w:rsidR="007C6C6F" w:rsidRPr="0013743D">
              <w:rPr>
                <w:rFonts w:ascii="Arial" w:hAnsi="Arial" w:cs="Arial"/>
                <w:sz w:val="20"/>
                <w:szCs w:val="20"/>
                <w:lang w:val="pt-BR"/>
              </w:rPr>
              <w:t>200.000</w:t>
            </w:r>
            <w:r w:rsidR="00DA6D67" w:rsidRPr="007C6C6F">
              <w:rPr>
                <w:rFonts w:ascii="Arial" w:hAnsi="Arial" w:cs="Arial"/>
                <w:sz w:val="20"/>
                <w:szCs w:val="20"/>
                <w:lang w:val="pt-BR"/>
              </w:rPr>
              <w:t xml:space="preserve"> (</w:t>
            </w:r>
            <w:r w:rsidR="007C6C6F" w:rsidRPr="0013743D">
              <w:rPr>
                <w:rFonts w:ascii="Arial" w:hAnsi="Arial" w:cs="Arial"/>
                <w:sz w:val="20"/>
                <w:szCs w:val="20"/>
                <w:lang w:val="pt-BR"/>
              </w:rPr>
              <w:t>duzentas mil</w:t>
            </w:r>
            <w:r w:rsidR="00DA6D67" w:rsidRPr="007C6C6F">
              <w:rPr>
                <w:rFonts w:ascii="Arial" w:hAnsi="Arial" w:cs="Arial"/>
                <w:sz w:val="20"/>
                <w:szCs w:val="20"/>
                <w:lang w:val="pt-BR"/>
              </w:rPr>
              <w:t>)</w:t>
            </w:r>
            <w:r w:rsidR="00DA6D67" w:rsidRPr="009147A8">
              <w:rPr>
                <w:rFonts w:ascii="Arial" w:hAnsi="Arial" w:cs="Arial"/>
                <w:sz w:val="20"/>
                <w:szCs w:val="20"/>
                <w:lang w:val="pt-BR"/>
              </w:rPr>
              <w:t xml:space="preserve"> cotas</w:t>
            </w:r>
            <w:r w:rsidR="00D5093F">
              <w:rPr>
                <w:rFonts w:ascii="Arial" w:hAnsi="Arial" w:cs="Arial"/>
                <w:b/>
                <w:bCs/>
                <w:sz w:val="20"/>
                <w:szCs w:val="20"/>
                <w:lang w:val="pt-BR"/>
              </w:rPr>
              <w:t xml:space="preserve"> </w:t>
            </w:r>
            <w:r w:rsidR="00DA6D67" w:rsidRPr="009147A8">
              <w:rPr>
                <w:rFonts w:ascii="Arial" w:hAnsi="Arial" w:cs="Arial"/>
                <w:sz w:val="20"/>
                <w:szCs w:val="20"/>
                <w:lang w:val="pt-BR"/>
              </w:rPr>
              <w:t>escriturais e com valor unitário de emissão de R$</w:t>
            </w:r>
            <w:r w:rsidR="007C6C6F">
              <w:rPr>
                <w:rFonts w:ascii="Arial" w:hAnsi="Arial" w:cs="Arial"/>
                <w:sz w:val="20"/>
                <w:szCs w:val="20"/>
                <w:lang w:val="pt-BR"/>
              </w:rPr>
              <w:t>1.000,00</w:t>
            </w:r>
            <w:r w:rsidR="00D5093F" w:rsidRPr="00D5093F">
              <w:rPr>
                <w:rFonts w:ascii="Arial" w:hAnsi="Arial" w:cs="Arial"/>
                <w:b/>
                <w:bCs/>
                <w:sz w:val="20"/>
                <w:szCs w:val="20"/>
                <w:lang w:val="pt-BR"/>
              </w:rPr>
              <w:t xml:space="preserve"> </w:t>
            </w:r>
            <w:r w:rsidR="00DA6D67" w:rsidRPr="009147A8">
              <w:rPr>
                <w:rFonts w:ascii="Arial" w:hAnsi="Arial" w:cs="Arial"/>
                <w:sz w:val="20"/>
                <w:szCs w:val="20"/>
                <w:lang w:val="pt-BR"/>
              </w:rPr>
              <w:t>(</w:t>
            </w:r>
            <w:r w:rsidR="007C6C6F" w:rsidRPr="0013743D">
              <w:rPr>
                <w:rFonts w:ascii="Arial" w:hAnsi="Arial" w:cs="Arial"/>
                <w:sz w:val="20"/>
                <w:szCs w:val="20"/>
                <w:lang w:val="pt-BR"/>
              </w:rPr>
              <w:t>um mil</w:t>
            </w:r>
            <w:r w:rsidR="00D5093F">
              <w:rPr>
                <w:rFonts w:ascii="Arial" w:hAnsi="Arial" w:cs="Arial"/>
                <w:b/>
                <w:bCs/>
                <w:sz w:val="20"/>
                <w:szCs w:val="20"/>
                <w:lang w:val="pt-BR"/>
              </w:rPr>
              <w:t xml:space="preserve"> </w:t>
            </w:r>
            <w:r w:rsidR="00DA6D67" w:rsidRPr="009147A8">
              <w:rPr>
                <w:rFonts w:ascii="Arial" w:hAnsi="Arial" w:cs="Arial"/>
                <w:sz w:val="20"/>
                <w:szCs w:val="20"/>
                <w:lang w:val="pt-BR"/>
              </w:rPr>
              <w:t xml:space="preserve">reais) </w:t>
            </w:r>
            <w:r w:rsidR="00DA6D67" w:rsidRPr="00855DD8">
              <w:rPr>
                <w:rFonts w:ascii="Arial" w:hAnsi="Arial" w:cs="Arial"/>
                <w:sz w:val="20"/>
                <w:szCs w:val="20"/>
                <w:lang w:val="pt-BR"/>
              </w:rPr>
              <w:t>cada</w:t>
            </w:r>
            <w:r w:rsidR="005D39F6" w:rsidRPr="00855DD8">
              <w:rPr>
                <w:rFonts w:ascii="Arial" w:hAnsi="Arial" w:cs="Arial"/>
                <w:sz w:val="20"/>
                <w:szCs w:val="20"/>
                <w:lang w:val="pt-BR"/>
              </w:rPr>
              <w:t>,</w:t>
            </w:r>
            <w:r w:rsidR="00DA6D67" w:rsidRPr="00855DD8">
              <w:rPr>
                <w:rFonts w:ascii="Arial" w:hAnsi="Arial" w:cs="Arial"/>
                <w:sz w:val="20"/>
                <w:szCs w:val="20"/>
                <w:lang w:val="pt-BR"/>
              </w:rPr>
              <w:t xml:space="preserve"> </w:t>
            </w:r>
            <w:r w:rsidR="00DA6D67" w:rsidRPr="0013743D">
              <w:rPr>
                <w:rFonts w:ascii="Arial" w:hAnsi="Arial" w:cs="Arial"/>
                <w:sz w:val="20"/>
                <w:szCs w:val="20"/>
                <w:lang w:val="pt-BR"/>
              </w:rPr>
              <w:t>na primeira data de integralização</w:t>
            </w:r>
            <w:r w:rsidR="005D39F6" w:rsidRPr="00855DD8">
              <w:rPr>
                <w:rFonts w:ascii="Arial" w:hAnsi="Arial" w:cs="Arial"/>
                <w:sz w:val="20"/>
                <w:szCs w:val="20"/>
                <w:lang w:val="pt-BR"/>
              </w:rPr>
              <w:t>,</w:t>
            </w:r>
            <w:r w:rsidR="00DA6D67" w:rsidRPr="00855DD8">
              <w:rPr>
                <w:rFonts w:ascii="Arial" w:hAnsi="Arial" w:cs="Arial"/>
                <w:sz w:val="20"/>
                <w:szCs w:val="20"/>
                <w:lang w:val="pt-BR"/>
              </w:rPr>
              <w:t xml:space="preserve"> (“</w:t>
            </w:r>
            <w:r w:rsidR="00DA6D67" w:rsidRPr="00855DD8">
              <w:rPr>
                <w:rFonts w:ascii="Arial" w:hAnsi="Arial" w:cs="Arial"/>
                <w:b/>
                <w:bCs/>
                <w:sz w:val="20"/>
                <w:szCs w:val="20"/>
                <w:lang w:val="pt-BR"/>
              </w:rPr>
              <w:t>Cotas</w:t>
            </w:r>
            <w:r w:rsidR="00DA6D67" w:rsidRPr="00855DD8">
              <w:rPr>
                <w:rFonts w:ascii="Arial" w:hAnsi="Arial" w:cs="Arial"/>
                <w:sz w:val="20"/>
                <w:szCs w:val="20"/>
                <w:lang w:val="pt-BR"/>
              </w:rPr>
              <w:t>”</w:t>
            </w:r>
            <w:r w:rsidR="00030855" w:rsidRPr="00855DD8">
              <w:rPr>
                <w:rFonts w:ascii="Arial" w:hAnsi="Arial" w:cs="Arial"/>
                <w:sz w:val="20"/>
                <w:szCs w:val="20"/>
                <w:lang w:val="pt-BR"/>
              </w:rPr>
              <w:t xml:space="preserve"> e “</w:t>
            </w:r>
            <w:r w:rsidR="00030855" w:rsidRPr="00855DD8">
              <w:rPr>
                <w:rFonts w:ascii="Arial" w:hAnsi="Arial" w:cs="Arial"/>
                <w:b/>
                <w:bCs/>
                <w:sz w:val="20"/>
                <w:szCs w:val="20"/>
                <w:lang w:val="pt-BR"/>
              </w:rPr>
              <w:t>Preço de Emissão</w:t>
            </w:r>
            <w:r w:rsidR="00030855" w:rsidRPr="00855DD8">
              <w:rPr>
                <w:rFonts w:ascii="Arial" w:hAnsi="Arial" w:cs="Arial"/>
                <w:sz w:val="20"/>
                <w:szCs w:val="20"/>
                <w:lang w:val="pt-BR"/>
              </w:rPr>
              <w:t>”, respectivamente</w:t>
            </w:r>
            <w:r w:rsidR="00DA6D67" w:rsidRPr="00855DD8">
              <w:rPr>
                <w:rFonts w:ascii="Arial" w:hAnsi="Arial" w:cs="Arial"/>
                <w:sz w:val="20"/>
                <w:szCs w:val="20"/>
                <w:lang w:val="pt-BR"/>
              </w:rPr>
              <w:t>), perfazendo o montante</w:t>
            </w:r>
            <w:r w:rsidR="00DA6D67" w:rsidRPr="007C6C6F">
              <w:rPr>
                <w:rFonts w:ascii="Arial" w:hAnsi="Arial" w:cs="Arial"/>
                <w:sz w:val="20"/>
                <w:szCs w:val="20"/>
                <w:lang w:val="pt-BR"/>
              </w:rPr>
              <w:t xml:space="preserve"> total de</w:t>
            </w:r>
            <w:r w:rsidR="007C6C6F" w:rsidRPr="007C6C6F">
              <w:rPr>
                <w:rFonts w:ascii="Arial" w:hAnsi="Arial" w:cs="Arial"/>
                <w:sz w:val="20"/>
                <w:szCs w:val="20"/>
                <w:lang w:val="pt-BR"/>
              </w:rPr>
              <w:t xml:space="preserve"> até</w:t>
            </w:r>
            <w:r w:rsidR="00DA6D67" w:rsidRPr="007C6C6F">
              <w:rPr>
                <w:rFonts w:ascii="Arial" w:hAnsi="Arial" w:cs="Arial"/>
                <w:sz w:val="20"/>
                <w:szCs w:val="20"/>
                <w:lang w:val="pt-BR"/>
              </w:rPr>
              <w:t xml:space="preserve"> R$</w:t>
            </w:r>
            <w:r w:rsidR="007C6C6F" w:rsidRPr="0013743D">
              <w:rPr>
                <w:rFonts w:ascii="Arial" w:hAnsi="Arial" w:cs="Arial"/>
                <w:sz w:val="20"/>
                <w:szCs w:val="20"/>
                <w:lang w:val="pt-BR"/>
              </w:rPr>
              <w:t>200.000.000,00</w:t>
            </w:r>
            <w:r w:rsidR="00DA6D67" w:rsidRPr="007C6C6F">
              <w:rPr>
                <w:rFonts w:ascii="Arial" w:hAnsi="Arial" w:cs="Arial"/>
                <w:sz w:val="20"/>
                <w:szCs w:val="20"/>
                <w:lang w:val="pt-BR"/>
              </w:rPr>
              <w:t xml:space="preserve"> (</w:t>
            </w:r>
            <w:r w:rsidR="007C6C6F" w:rsidRPr="0013743D">
              <w:rPr>
                <w:rFonts w:ascii="Arial" w:hAnsi="Arial" w:cs="Arial"/>
                <w:sz w:val="20"/>
                <w:szCs w:val="20"/>
                <w:lang w:val="pt-BR"/>
              </w:rPr>
              <w:t>duzentos milhões</w:t>
            </w:r>
            <w:r w:rsidR="00DA6D67" w:rsidRPr="007C6C6F">
              <w:rPr>
                <w:rFonts w:ascii="Arial" w:hAnsi="Arial" w:cs="Arial"/>
                <w:sz w:val="20"/>
                <w:szCs w:val="20"/>
                <w:lang w:val="pt-BR"/>
              </w:rPr>
              <w:t xml:space="preserve"> de reais)</w:t>
            </w:r>
            <w:r w:rsidR="00DA6D67" w:rsidRPr="009147A8">
              <w:rPr>
                <w:rFonts w:ascii="Arial" w:hAnsi="Arial" w:cs="Arial"/>
                <w:sz w:val="20"/>
                <w:szCs w:val="20"/>
                <w:lang w:val="pt-BR"/>
              </w:rPr>
              <w:t xml:space="preserve"> (“</w:t>
            </w:r>
            <w:r w:rsidR="00030855" w:rsidRPr="0013743D">
              <w:rPr>
                <w:rFonts w:ascii="Arial" w:hAnsi="Arial" w:cs="Arial"/>
                <w:b/>
                <w:bCs/>
                <w:sz w:val="20"/>
                <w:szCs w:val="20"/>
                <w:lang w:val="pt-BR"/>
              </w:rPr>
              <w:t xml:space="preserve">Primeira </w:t>
            </w:r>
            <w:r w:rsidR="00DA6D67" w:rsidRPr="007C6C6F">
              <w:rPr>
                <w:rFonts w:ascii="Arial" w:hAnsi="Arial" w:cs="Arial"/>
                <w:b/>
                <w:bCs/>
                <w:sz w:val="20"/>
                <w:szCs w:val="20"/>
                <w:lang w:val="pt-BR"/>
              </w:rPr>
              <w:t>Emissão</w:t>
            </w:r>
            <w:r w:rsidR="00DA6D67" w:rsidRPr="009147A8">
              <w:rPr>
                <w:rFonts w:ascii="Arial" w:hAnsi="Arial" w:cs="Arial"/>
                <w:sz w:val="20"/>
                <w:szCs w:val="20"/>
                <w:lang w:val="pt-BR"/>
              </w:rPr>
              <w:t>”</w:t>
            </w:r>
            <w:r w:rsidR="006D1A8B">
              <w:rPr>
                <w:rFonts w:ascii="Arial" w:hAnsi="Arial" w:cs="Arial"/>
                <w:sz w:val="20"/>
                <w:szCs w:val="20"/>
                <w:lang w:val="pt-BR"/>
              </w:rPr>
              <w:t xml:space="preserve"> e “</w:t>
            </w:r>
            <w:r w:rsidR="006D1A8B" w:rsidRPr="0013743D">
              <w:rPr>
                <w:rFonts w:ascii="Arial" w:hAnsi="Arial" w:cs="Arial"/>
                <w:b/>
                <w:bCs/>
                <w:sz w:val="20"/>
                <w:szCs w:val="20"/>
                <w:lang w:val="pt-BR"/>
              </w:rPr>
              <w:t>Montante Máximo da Oferta</w:t>
            </w:r>
            <w:r w:rsidR="006D1A8B">
              <w:rPr>
                <w:rFonts w:ascii="Arial" w:hAnsi="Arial" w:cs="Arial"/>
                <w:sz w:val="20"/>
                <w:szCs w:val="20"/>
                <w:lang w:val="pt-BR"/>
              </w:rPr>
              <w:t>” respectivamente</w:t>
            </w:r>
            <w:r w:rsidR="00DA6D67" w:rsidRPr="009147A8">
              <w:rPr>
                <w:rFonts w:ascii="Arial" w:hAnsi="Arial" w:cs="Arial"/>
                <w:sz w:val="20"/>
                <w:szCs w:val="20"/>
                <w:lang w:val="pt-BR"/>
              </w:rPr>
              <w:t>) d</w:t>
            </w:r>
            <w:r w:rsidR="00D5093F">
              <w:rPr>
                <w:rFonts w:ascii="Arial" w:hAnsi="Arial" w:cs="Arial"/>
                <w:sz w:val="20"/>
                <w:szCs w:val="20"/>
                <w:lang w:val="pt-BR"/>
              </w:rPr>
              <w:t>a</w:t>
            </w:r>
            <w:r w:rsidR="00DA6D67" w:rsidRPr="009147A8">
              <w:rPr>
                <w:rFonts w:ascii="Arial" w:hAnsi="Arial" w:cs="Arial"/>
                <w:sz w:val="20"/>
                <w:szCs w:val="20"/>
                <w:lang w:val="pt-BR"/>
              </w:rPr>
              <w:t xml:space="preserve"> </w:t>
            </w:r>
            <w:bookmarkStart w:id="1" w:name="_DV_M3"/>
            <w:bookmarkEnd w:id="1"/>
            <w:r w:rsidR="00D5093F">
              <w:rPr>
                <w:rFonts w:ascii="Arial" w:hAnsi="Arial" w:cs="Arial"/>
                <w:sz w:val="20"/>
                <w:szCs w:val="20"/>
                <w:lang w:val="pt-BR"/>
              </w:rPr>
              <w:t>Classe</w:t>
            </w:r>
            <w:r w:rsidR="00DA6D67" w:rsidRPr="009147A8">
              <w:rPr>
                <w:rFonts w:ascii="Arial" w:hAnsi="Arial" w:cs="Arial"/>
                <w:sz w:val="20"/>
                <w:szCs w:val="20"/>
                <w:lang w:val="pt-BR"/>
              </w:rPr>
              <w:t>, as quais serão objeto de oferta pública</w:t>
            </w:r>
            <w:r w:rsidR="00030855">
              <w:rPr>
                <w:rFonts w:ascii="Arial" w:hAnsi="Arial" w:cs="Arial"/>
                <w:sz w:val="20"/>
                <w:szCs w:val="20"/>
                <w:lang w:val="pt-BR"/>
              </w:rPr>
              <w:t>, sob rito de registro automático,</w:t>
            </w:r>
            <w:r w:rsidR="00DA6D67" w:rsidRPr="009147A8">
              <w:rPr>
                <w:rFonts w:ascii="Arial" w:hAnsi="Arial" w:cs="Arial"/>
                <w:sz w:val="20"/>
                <w:szCs w:val="20"/>
                <w:lang w:val="pt-BR"/>
              </w:rPr>
              <w:t xml:space="preserve"> nos termos da Resolução CVM nº 160, de 13 de julho de 2022, conforme alterada (“</w:t>
            </w:r>
            <w:r w:rsidR="00DA6D67" w:rsidRPr="00240B38">
              <w:rPr>
                <w:rFonts w:ascii="Arial" w:hAnsi="Arial" w:cs="Arial"/>
                <w:b/>
                <w:bCs/>
                <w:sz w:val="20"/>
                <w:szCs w:val="20"/>
                <w:lang w:val="pt-BR"/>
              </w:rPr>
              <w:t>Resolução CVM 160</w:t>
            </w:r>
            <w:r w:rsidR="00DA6D67" w:rsidRPr="009147A8">
              <w:rPr>
                <w:rFonts w:ascii="Arial" w:hAnsi="Arial" w:cs="Arial"/>
                <w:sz w:val="20"/>
                <w:szCs w:val="20"/>
                <w:lang w:val="pt-BR"/>
              </w:rPr>
              <w:t>”), em regime de melhores esforços de colocação (“</w:t>
            </w:r>
            <w:r w:rsidR="00DA6D67" w:rsidRPr="00240B38">
              <w:rPr>
                <w:rFonts w:ascii="Arial" w:hAnsi="Arial" w:cs="Arial"/>
                <w:b/>
                <w:bCs/>
                <w:sz w:val="20"/>
                <w:szCs w:val="20"/>
                <w:lang w:val="pt-BR"/>
              </w:rPr>
              <w:t>Oferta</w:t>
            </w:r>
            <w:r w:rsidR="00DA6D67" w:rsidRPr="009147A8">
              <w:rPr>
                <w:rFonts w:ascii="Arial" w:hAnsi="Arial" w:cs="Arial"/>
                <w:sz w:val="20"/>
                <w:szCs w:val="20"/>
                <w:lang w:val="pt-BR"/>
              </w:rPr>
              <w:t>”).</w:t>
            </w:r>
          </w:p>
          <w:p w14:paraId="26C80074" w14:textId="6799FEB4" w:rsidR="007B75A2" w:rsidRDefault="007B75A2" w:rsidP="00F10451">
            <w:pPr>
              <w:widowControl/>
              <w:spacing w:after="120" w:line="240" w:lineRule="auto"/>
              <w:rPr>
                <w:rFonts w:ascii="Arial" w:hAnsi="Arial" w:cs="Arial"/>
                <w:sz w:val="20"/>
                <w:szCs w:val="20"/>
                <w:lang w:val="pt-BR"/>
              </w:rPr>
            </w:pPr>
            <w:r>
              <w:rPr>
                <w:rFonts w:ascii="Arial" w:hAnsi="Arial" w:cs="Arial"/>
                <w:sz w:val="20"/>
                <w:szCs w:val="20"/>
                <w:lang w:val="pt-BR"/>
              </w:rPr>
              <w:t xml:space="preserve">A </w:t>
            </w:r>
            <w:r w:rsidRPr="007B75A2">
              <w:rPr>
                <w:rFonts w:ascii="Arial" w:hAnsi="Arial" w:cs="Arial"/>
                <w:sz w:val="20"/>
                <w:szCs w:val="20"/>
                <w:lang w:val="pt-BR"/>
              </w:rPr>
              <w:t>Oferta é destinada a investidores qualificados, conforme definidos no artigo 12 da Resolução da CVM nº 30, de 11 de maio de 2021, conforme alterada (“</w:t>
            </w:r>
            <w:r w:rsidRPr="00DF7454">
              <w:rPr>
                <w:rFonts w:ascii="Arial" w:hAnsi="Arial" w:cs="Arial"/>
                <w:b/>
                <w:bCs/>
                <w:sz w:val="20"/>
                <w:szCs w:val="20"/>
                <w:lang w:val="pt-BR"/>
              </w:rPr>
              <w:t>Investidores Qualificados</w:t>
            </w:r>
            <w:r w:rsidRPr="007B75A2">
              <w:rPr>
                <w:rFonts w:ascii="Arial" w:hAnsi="Arial" w:cs="Arial"/>
                <w:sz w:val="20"/>
                <w:szCs w:val="20"/>
                <w:lang w:val="pt-BR"/>
              </w:rPr>
              <w:t>” ou “</w:t>
            </w:r>
            <w:r w:rsidRPr="00DF7454">
              <w:rPr>
                <w:rFonts w:ascii="Arial" w:hAnsi="Arial" w:cs="Arial"/>
                <w:b/>
                <w:bCs/>
                <w:sz w:val="20"/>
                <w:szCs w:val="20"/>
                <w:lang w:val="pt-BR"/>
              </w:rPr>
              <w:t>Investidores</w:t>
            </w:r>
            <w:r w:rsidRPr="007B75A2">
              <w:rPr>
                <w:rFonts w:ascii="Arial" w:hAnsi="Arial" w:cs="Arial"/>
                <w:sz w:val="20"/>
                <w:szCs w:val="20"/>
                <w:lang w:val="pt-BR"/>
              </w:rPr>
              <w:t>” e “</w:t>
            </w:r>
            <w:r w:rsidRPr="00DF7454">
              <w:rPr>
                <w:rFonts w:ascii="Arial" w:hAnsi="Arial" w:cs="Arial"/>
                <w:b/>
                <w:bCs/>
                <w:sz w:val="20"/>
                <w:szCs w:val="20"/>
                <w:lang w:val="pt-BR"/>
              </w:rPr>
              <w:t>Resolução CVM 30</w:t>
            </w:r>
            <w:r w:rsidRPr="007B75A2">
              <w:rPr>
                <w:rFonts w:ascii="Arial" w:hAnsi="Arial" w:cs="Arial"/>
                <w:sz w:val="20"/>
                <w:szCs w:val="20"/>
                <w:lang w:val="pt-BR"/>
              </w:rPr>
              <w:t>”, respectivamente)</w:t>
            </w:r>
            <w:r w:rsidRPr="007B75A2">
              <w:rPr>
                <w:rFonts w:ascii="Arial" w:hAnsi="Arial" w:cs="Arial"/>
                <w:bCs/>
                <w:iCs/>
                <w:sz w:val="20"/>
                <w:szCs w:val="20"/>
                <w:lang w:val="pt-BR"/>
              </w:rPr>
              <w:t>.</w:t>
            </w:r>
          </w:p>
          <w:p w14:paraId="13EBF5D0" w14:textId="1A292C8B" w:rsidR="003455D3" w:rsidRDefault="005D39F6" w:rsidP="00F10451">
            <w:pPr>
              <w:widowControl/>
              <w:spacing w:after="120" w:line="240" w:lineRule="auto"/>
              <w:rPr>
                <w:rFonts w:ascii="Arial" w:hAnsi="Arial" w:cs="Arial"/>
                <w:sz w:val="20"/>
                <w:szCs w:val="20"/>
                <w:lang w:val="pt-BR"/>
              </w:rPr>
            </w:pPr>
            <w:r w:rsidRPr="005D39F6">
              <w:rPr>
                <w:rFonts w:ascii="Arial" w:hAnsi="Arial" w:cs="Arial"/>
                <w:sz w:val="20"/>
                <w:szCs w:val="20"/>
                <w:lang w:val="pt-BR"/>
              </w:rPr>
              <w:t>Será admitida distribuição parcial no âmbito da Oferta, observado que, nesse caso, a Oferta somente será efetivada se forem colocadas, no mínimo</w:t>
            </w:r>
            <w:r>
              <w:rPr>
                <w:rFonts w:ascii="Arial" w:hAnsi="Arial" w:cs="Arial"/>
                <w:sz w:val="20"/>
                <w:szCs w:val="20"/>
                <w:lang w:val="pt-BR"/>
              </w:rPr>
              <w:t>,</w:t>
            </w:r>
            <w:r w:rsidRPr="005D39F6">
              <w:rPr>
                <w:rFonts w:ascii="Arial" w:hAnsi="Arial" w:cs="Arial"/>
                <w:sz w:val="20"/>
                <w:szCs w:val="20"/>
                <w:lang w:val="pt-BR"/>
              </w:rPr>
              <w:t xml:space="preserve"> 50.000 (cinquenta mil) Cotas, totalizando</w:t>
            </w:r>
            <w:r w:rsidR="006D1A8B">
              <w:rPr>
                <w:rFonts w:ascii="Arial" w:hAnsi="Arial" w:cs="Arial"/>
                <w:sz w:val="20"/>
                <w:szCs w:val="20"/>
                <w:lang w:val="pt-BR"/>
              </w:rPr>
              <w:t xml:space="preserve"> o montante de, </w:t>
            </w:r>
            <w:r w:rsidR="006D1A8B">
              <w:rPr>
                <w:rFonts w:ascii="Arial" w:hAnsi="Arial" w:cs="Arial"/>
                <w:sz w:val="20"/>
                <w:szCs w:val="20"/>
                <w:lang w:val="pt-BR"/>
              </w:rPr>
              <w:lastRenderedPageBreak/>
              <w:t>no mínimo,</w:t>
            </w:r>
            <w:r w:rsidRPr="005D39F6">
              <w:rPr>
                <w:rFonts w:ascii="Arial" w:hAnsi="Arial" w:cs="Arial"/>
                <w:sz w:val="20"/>
                <w:szCs w:val="20"/>
                <w:lang w:val="pt-BR"/>
              </w:rPr>
              <w:t xml:space="preserve"> R$50.000.000,00 (cinquenta milhões de reais) ("</w:t>
            </w:r>
            <w:r w:rsidRPr="0013743D">
              <w:rPr>
                <w:rFonts w:ascii="Arial" w:hAnsi="Arial" w:cs="Arial"/>
                <w:b/>
                <w:bCs/>
                <w:sz w:val="20"/>
                <w:szCs w:val="20"/>
                <w:lang w:val="pt-BR"/>
              </w:rPr>
              <w:t>Montante Mínimo da Oferta</w:t>
            </w:r>
            <w:r w:rsidRPr="005D39F6">
              <w:rPr>
                <w:rFonts w:ascii="Arial" w:hAnsi="Arial" w:cs="Arial"/>
                <w:sz w:val="20"/>
                <w:szCs w:val="20"/>
                <w:lang w:val="pt-BR"/>
              </w:rPr>
              <w:t>"). Na eventualidade de o montante distribuído no âmbito da Oferta ser superior ao Montante Mínimo da Oferta, mas inferior ao Montante Máximo da Oferta, a Oferta poderá ser encerrada e o eventual saldo de Cotas não colocado será cancelado pelo Administrador, sem a necessidade de realização de assembleia geral de cotistas</w:t>
            </w:r>
            <w:r>
              <w:rPr>
                <w:rFonts w:ascii="Arial" w:hAnsi="Arial" w:cs="Arial"/>
                <w:sz w:val="20"/>
                <w:szCs w:val="20"/>
                <w:lang w:val="pt-BR"/>
              </w:rPr>
              <w:t>.</w:t>
            </w:r>
            <w:r w:rsidR="007B75A2">
              <w:rPr>
                <w:rFonts w:ascii="Arial" w:hAnsi="Arial" w:cs="Arial"/>
                <w:sz w:val="20"/>
                <w:szCs w:val="20"/>
                <w:lang w:val="pt-BR"/>
              </w:rPr>
              <w:t xml:space="preserve"> </w:t>
            </w:r>
          </w:p>
          <w:p w14:paraId="15399970" w14:textId="12DD7109" w:rsidR="007B75A2" w:rsidRPr="007B75A2" w:rsidRDefault="007B75A2" w:rsidP="007B75A2">
            <w:pPr>
              <w:widowControl/>
              <w:spacing w:after="120" w:line="240" w:lineRule="auto"/>
              <w:rPr>
                <w:rFonts w:ascii="Arial" w:hAnsi="Arial" w:cs="Arial"/>
                <w:sz w:val="20"/>
                <w:szCs w:val="20"/>
                <w:lang w:val="pt-BR"/>
              </w:rPr>
            </w:pPr>
            <w:r w:rsidRPr="007B75A2">
              <w:rPr>
                <w:rFonts w:ascii="Arial" w:hAnsi="Arial" w:cs="Arial"/>
                <w:sz w:val="20"/>
                <w:szCs w:val="20"/>
                <w:lang w:val="pt-BR"/>
              </w:rPr>
              <w:t>No âmbito da Oferta não será admitida a aquisição de Cotas por clubes de investimento, nos termos dos artigos 27 e 28 da Resolução da CVM nº 11, de 18 de novembro de 2020, conforme alterada.</w:t>
            </w:r>
            <w:r>
              <w:rPr>
                <w:rFonts w:ascii="Arial" w:hAnsi="Arial" w:cs="Arial"/>
                <w:sz w:val="20"/>
                <w:szCs w:val="20"/>
                <w:lang w:val="pt-BR"/>
              </w:rPr>
              <w:t xml:space="preserve"> </w:t>
            </w:r>
          </w:p>
          <w:p w14:paraId="5DC02505" w14:textId="3909F080" w:rsidR="007B75A2" w:rsidRPr="007B75A2" w:rsidRDefault="007B75A2" w:rsidP="007B75A2">
            <w:pPr>
              <w:widowControl/>
              <w:spacing w:after="120" w:line="240" w:lineRule="auto"/>
              <w:rPr>
                <w:rFonts w:ascii="Arial" w:hAnsi="Arial" w:cs="Arial"/>
                <w:sz w:val="20"/>
                <w:szCs w:val="20"/>
                <w:lang w:val="pt-BR"/>
              </w:rPr>
            </w:pPr>
            <w:r w:rsidRPr="007B75A2">
              <w:rPr>
                <w:rFonts w:ascii="Arial" w:hAnsi="Arial" w:cs="Arial"/>
                <w:bCs/>
                <w:iCs/>
                <w:sz w:val="20"/>
                <w:szCs w:val="20"/>
                <w:lang w:val="pt-BR"/>
              </w:rPr>
              <w:t xml:space="preserve">Será garantido aos Investidores o tratamento equitativo, desde que a aquisição das Cotas não lhes seja vedada por restrição legal, regulamentar ou estatutária, cabendo às </w:t>
            </w:r>
            <w:r w:rsidRPr="007B75A2">
              <w:rPr>
                <w:rFonts w:ascii="Arial" w:hAnsi="Arial" w:cs="Arial"/>
                <w:sz w:val="20"/>
                <w:szCs w:val="20"/>
                <w:lang w:val="pt-BR"/>
              </w:rPr>
              <w:t>Instituições Participantes da Oferta</w:t>
            </w:r>
            <w:r w:rsidRPr="007B75A2">
              <w:rPr>
                <w:rFonts w:ascii="Arial" w:hAnsi="Arial" w:cs="Arial"/>
                <w:bCs/>
                <w:iCs/>
                <w:sz w:val="20"/>
                <w:szCs w:val="20"/>
                <w:lang w:val="pt-BR"/>
              </w:rPr>
              <w:t xml:space="preserve"> a verificação da adequação do investimento nas Cotas ao perfil de seus respectivos clientes</w:t>
            </w:r>
            <w:r w:rsidRPr="007B75A2">
              <w:rPr>
                <w:rFonts w:ascii="Arial" w:hAnsi="Arial" w:cs="Arial"/>
                <w:sz w:val="20"/>
                <w:szCs w:val="20"/>
                <w:lang w:val="pt-BR"/>
              </w:rPr>
              <w:t>.</w:t>
            </w:r>
            <w:r>
              <w:rPr>
                <w:rFonts w:ascii="Arial" w:hAnsi="Arial" w:cs="Arial"/>
                <w:sz w:val="20"/>
                <w:szCs w:val="20"/>
                <w:lang w:val="pt-BR"/>
              </w:rPr>
              <w:t xml:space="preserve"> </w:t>
            </w:r>
          </w:p>
          <w:p w14:paraId="26049E4E" w14:textId="536B3C08" w:rsidR="007B75A2" w:rsidRDefault="007B75A2" w:rsidP="007B75A2">
            <w:pPr>
              <w:widowControl/>
              <w:spacing w:after="120" w:line="240" w:lineRule="auto"/>
              <w:rPr>
                <w:rFonts w:ascii="Arial" w:hAnsi="Arial" w:cs="Arial"/>
                <w:sz w:val="20"/>
                <w:szCs w:val="20"/>
                <w:lang w:val="pt-BR"/>
              </w:rPr>
            </w:pPr>
            <w:r w:rsidRPr="007B75A2">
              <w:rPr>
                <w:rFonts w:ascii="Arial" w:hAnsi="Arial" w:cs="Arial"/>
                <w:sz w:val="20"/>
                <w:szCs w:val="20"/>
                <w:lang w:val="pt-BR"/>
              </w:rPr>
              <w:t>Nos termos da regulamentação em vigor, poderá ser aceita a participação de Pessoas Vinculadas na Oferta</w:t>
            </w:r>
            <w:r>
              <w:rPr>
                <w:rFonts w:ascii="Arial" w:hAnsi="Arial" w:cs="Arial"/>
                <w:sz w:val="20"/>
                <w:szCs w:val="20"/>
                <w:lang w:val="pt-BR"/>
              </w:rPr>
              <w:t xml:space="preserve"> (conforme abaixo definido)</w:t>
            </w:r>
            <w:r w:rsidRPr="007B75A2">
              <w:rPr>
                <w:rFonts w:ascii="Arial" w:hAnsi="Arial" w:cs="Arial"/>
                <w:sz w:val="20"/>
                <w:szCs w:val="20"/>
                <w:lang w:val="pt-BR"/>
              </w:rPr>
              <w:t>.</w:t>
            </w:r>
            <w:r>
              <w:rPr>
                <w:rFonts w:ascii="Arial" w:hAnsi="Arial" w:cs="Arial"/>
                <w:sz w:val="20"/>
                <w:szCs w:val="20"/>
                <w:lang w:val="pt-BR"/>
              </w:rPr>
              <w:t xml:space="preserve"> </w:t>
            </w:r>
          </w:p>
          <w:p w14:paraId="30B4F667" w14:textId="73398A40" w:rsidR="007B75A2" w:rsidRPr="007B75A2" w:rsidRDefault="007B75A2" w:rsidP="007B75A2">
            <w:pPr>
              <w:widowControl/>
              <w:spacing w:after="120" w:line="240" w:lineRule="auto"/>
              <w:rPr>
                <w:rFonts w:ascii="Arial" w:hAnsi="Arial" w:cs="Arial"/>
                <w:sz w:val="20"/>
                <w:szCs w:val="20"/>
                <w:lang w:val="pt-BR"/>
              </w:rPr>
            </w:pPr>
            <w:r w:rsidRPr="007B75A2">
              <w:rPr>
                <w:rFonts w:ascii="Arial" w:hAnsi="Arial" w:cs="Arial"/>
                <w:sz w:val="20"/>
                <w:szCs w:val="20"/>
                <w:lang w:val="pt-BR"/>
              </w:rPr>
              <w:t>Caso seja verificado excesso de demanda superior a 1/3 (um terço) da quantidade de Cotas inicialmente ofertada no âmbito da Oferta, não será permitida a colocação de Cotas junto aos Investidores que sejam considerados Pessoas Vinculadas, nos termos do artigo 56 da Resolução CVM 160, sendo os boletins de subscrição ou documentos equivalentes de aceitação da Oferta automaticamente cancelados, observadas as exceções previstas no §1º do artigo 56 da Resolução CVM 160.</w:t>
            </w:r>
            <w:r>
              <w:rPr>
                <w:rFonts w:ascii="Arial" w:hAnsi="Arial" w:cs="Arial"/>
                <w:sz w:val="20"/>
                <w:szCs w:val="20"/>
                <w:lang w:val="pt-BR"/>
              </w:rPr>
              <w:t xml:space="preserve"> </w:t>
            </w:r>
          </w:p>
          <w:p w14:paraId="1D2EE7B1" w14:textId="77777777" w:rsidR="00107840" w:rsidRDefault="007B75A2" w:rsidP="007B75A2">
            <w:pPr>
              <w:widowControl/>
              <w:spacing w:after="120" w:line="240" w:lineRule="auto"/>
              <w:rPr>
                <w:rFonts w:ascii="Arial" w:hAnsi="Arial" w:cs="Arial"/>
                <w:sz w:val="20"/>
                <w:szCs w:val="20"/>
                <w:lang w:val="pt-BR"/>
              </w:rPr>
            </w:pPr>
            <w:r w:rsidRPr="007B75A2">
              <w:rPr>
                <w:rFonts w:ascii="Arial" w:hAnsi="Arial" w:cs="Arial"/>
                <w:sz w:val="20"/>
                <w:szCs w:val="20"/>
                <w:lang w:val="pt-BR"/>
              </w:rPr>
              <w:t>Caso não seja verificado excesso de demanda superior a 1/3 (um terço) da quantidade de Cotas inicialmente ofertada no âmbito da Oferta, não haverá limitação para participação de Pessoas Vinculadas na Oferta, podendo as Pessoas Vinculadas representarem até 100% (cem por cento) dos Investidores</w:t>
            </w:r>
            <w:r>
              <w:rPr>
                <w:rFonts w:ascii="Arial" w:hAnsi="Arial" w:cs="Arial"/>
                <w:sz w:val="20"/>
                <w:szCs w:val="20"/>
                <w:lang w:val="pt-BR"/>
              </w:rPr>
              <w:t>.</w:t>
            </w:r>
          </w:p>
          <w:p w14:paraId="30251AAD" w14:textId="05FE7AAD" w:rsidR="003455D3" w:rsidRDefault="003455D3" w:rsidP="003455D3">
            <w:pPr>
              <w:widowControl/>
              <w:spacing w:after="120" w:line="240" w:lineRule="auto"/>
              <w:rPr>
                <w:rFonts w:ascii="Arial" w:hAnsi="Arial" w:cs="Arial"/>
                <w:b/>
                <w:bCs/>
                <w:sz w:val="20"/>
                <w:szCs w:val="20"/>
                <w:lang w:val="pt-BR"/>
              </w:rPr>
            </w:pPr>
            <w:r w:rsidRPr="0013743D">
              <w:rPr>
                <w:rFonts w:ascii="Arial" w:hAnsi="Arial" w:cs="Arial"/>
                <w:sz w:val="20"/>
                <w:szCs w:val="20"/>
                <w:lang w:val="pt-BR"/>
              </w:rPr>
              <w:t>As Cotas serão subscritas dentro do prazo máximo de 180 (cento e oitenta) dias corridos contados da data de início da distribuição e serão integralizadas à vista</w:t>
            </w:r>
            <w:r w:rsidR="007C6C6F">
              <w:rPr>
                <w:rFonts w:ascii="Arial" w:hAnsi="Arial" w:cs="Arial"/>
                <w:sz w:val="20"/>
                <w:szCs w:val="20"/>
                <w:lang w:val="pt-BR"/>
              </w:rPr>
              <w:t>,</w:t>
            </w:r>
            <w:r w:rsidR="007C6C6F" w:rsidRPr="0013743D">
              <w:rPr>
                <w:rFonts w:ascii="Arial" w:hAnsi="Arial" w:cs="Arial"/>
                <w:sz w:val="20"/>
                <w:szCs w:val="20"/>
                <w:lang w:val="pt-BR"/>
              </w:rPr>
              <w:t xml:space="preserve"> em moeda corrente nacional, por meio de: (i) débito e crédito em conta corrente; (</w:t>
            </w:r>
            <w:proofErr w:type="spellStart"/>
            <w:r w:rsidR="007C6C6F" w:rsidRPr="0013743D">
              <w:rPr>
                <w:rFonts w:ascii="Arial" w:hAnsi="Arial" w:cs="Arial"/>
                <w:sz w:val="20"/>
                <w:szCs w:val="20"/>
                <w:lang w:val="pt-BR"/>
              </w:rPr>
              <w:t>ii</w:t>
            </w:r>
            <w:proofErr w:type="spellEnd"/>
            <w:r w:rsidR="007C6C6F" w:rsidRPr="0013743D">
              <w:rPr>
                <w:rFonts w:ascii="Arial" w:hAnsi="Arial" w:cs="Arial"/>
                <w:sz w:val="20"/>
                <w:szCs w:val="20"/>
                <w:lang w:val="pt-BR"/>
              </w:rPr>
              <w:t>) Transferência Eletrônica Disponível – TED; ou (</w:t>
            </w:r>
            <w:proofErr w:type="spellStart"/>
            <w:r w:rsidR="007C6C6F" w:rsidRPr="0013743D">
              <w:rPr>
                <w:rFonts w:ascii="Arial" w:hAnsi="Arial" w:cs="Arial"/>
                <w:sz w:val="20"/>
                <w:szCs w:val="20"/>
                <w:lang w:val="pt-BR"/>
              </w:rPr>
              <w:t>iii</w:t>
            </w:r>
            <w:proofErr w:type="spellEnd"/>
            <w:r w:rsidR="007C6C6F" w:rsidRPr="0013743D">
              <w:rPr>
                <w:rFonts w:ascii="Arial" w:hAnsi="Arial" w:cs="Arial"/>
                <w:sz w:val="20"/>
                <w:szCs w:val="20"/>
                <w:lang w:val="pt-BR"/>
              </w:rPr>
              <w:t>) outros mecanismos de transferência de recursos autorizados pelo Banco Central do Brasil, exclusivamente na Conta da Classe</w:t>
            </w:r>
            <w:r w:rsidR="006D1A8B">
              <w:rPr>
                <w:rFonts w:ascii="Arial" w:hAnsi="Arial" w:cs="Arial"/>
                <w:sz w:val="20"/>
                <w:szCs w:val="20"/>
                <w:lang w:val="pt-BR"/>
              </w:rPr>
              <w:t xml:space="preserve"> Única</w:t>
            </w:r>
            <w:r w:rsidR="007C6C6F" w:rsidRPr="0013743D">
              <w:rPr>
                <w:rFonts w:ascii="Arial" w:hAnsi="Arial" w:cs="Arial"/>
                <w:sz w:val="20"/>
                <w:szCs w:val="20"/>
                <w:lang w:val="pt-BR"/>
              </w:rPr>
              <w:t xml:space="preserve"> (conforme definido no Regulamento), servindo o comprovante de depósito ou transferência como recibo de quitação. Nas hipóteses em que aplicável, somente serão consideradas as aplicações como efetivadas após a devida disponibilização dos recursos na Conta da Classe</w:t>
            </w:r>
            <w:r w:rsidR="006D1A8B">
              <w:rPr>
                <w:rFonts w:ascii="Arial" w:hAnsi="Arial" w:cs="Arial"/>
                <w:sz w:val="20"/>
                <w:szCs w:val="20"/>
                <w:lang w:val="pt-BR"/>
              </w:rPr>
              <w:t xml:space="preserve"> Única</w:t>
            </w:r>
            <w:r w:rsidR="007C6C6F" w:rsidRPr="0013743D">
              <w:rPr>
                <w:rFonts w:ascii="Arial" w:hAnsi="Arial" w:cs="Arial"/>
                <w:sz w:val="20"/>
                <w:szCs w:val="20"/>
                <w:lang w:val="pt-BR"/>
              </w:rPr>
              <w:t>.</w:t>
            </w:r>
            <w:r w:rsidR="007C6C6F">
              <w:rPr>
                <w:rFonts w:ascii="Arial" w:hAnsi="Arial" w:cs="Arial"/>
                <w:b/>
                <w:bCs/>
                <w:sz w:val="20"/>
                <w:szCs w:val="20"/>
                <w:lang w:val="pt-BR"/>
              </w:rPr>
              <w:t xml:space="preserve"> </w:t>
            </w:r>
          </w:p>
          <w:p w14:paraId="761D1AAC" w14:textId="562CC5BD" w:rsidR="00DA6D67" w:rsidRPr="003455D3" w:rsidRDefault="00DA6D67" w:rsidP="003455D3">
            <w:pPr>
              <w:widowControl/>
              <w:spacing w:after="120" w:line="240" w:lineRule="auto"/>
              <w:rPr>
                <w:rFonts w:ascii="Arial" w:hAnsi="Arial" w:cs="Arial"/>
                <w:sz w:val="20"/>
                <w:szCs w:val="20"/>
                <w:lang w:val="pt-BR"/>
              </w:rPr>
            </w:pPr>
          </w:p>
        </w:tc>
      </w:tr>
    </w:tbl>
    <w:p w14:paraId="563CC5D2" w14:textId="77777777" w:rsidR="00DA6D67" w:rsidRPr="009147A8" w:rsidRDefault="00DA6D67" w:rsidP="00DA6D67">
      <w:pPr>
        <w:keepNext/>
        <w:widowControl/>
        <w:spacing w:after="120" w:line="240" w:lineRule="auto"/>
        <w:rPr>
          <w:rFonts w:ascii="Arial" w:hAnsi="Arial" w:cs="Arial"/>
          <w:b/>
          <w:bCs/>
          <w:sz w:val="20"/>
          <w:szCs w:val="20"/>
          <w:lang w:val="pt-BR"/>
        </w:rPr>
      </w:pPr>
      <w:r w:rsidRPr="009147A8">
        <w:rPr>
          <w:rFonts w:ascii="Arial" w:hAnsi="Arial" w:cs="Arial"/>
          <w:sz w:val="20"/>
          <w:szCs w:val="20"/>
          <w:lang w:val="pt-BR"/>
        </w:rPr>
        <w:lastRenderedPageBreak/>
        <w:br/>
      </w:r>
      <w:bookmarkStart w:id="2" w:name="_DV_M13"/>
      <w:bookmarkEnd w:id="2"/>
      <w:r w:rsidRPr="009147A8">
        <w:rPr>
          <w:rFonts w:ascii="Arial" w:hAnsi="Arial" w:cs="Arial"/>
          <w:b/>
          <w:bCs/>
          <w:sz w:val="20"/>
          <w:szCs w:val="20"/>
          <w:lang w:val="pt-BR"/>
        </w:rPr>
        <w:t>Identificação do Subscritor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78"/>
        <w:gridCol w:w="2194"/>
        <w:gridCol w:w="1616"/>
        <w:gridCol w:w="1962"/>
      </w:tblGrid>
      <w:tr w:rsidR="00DA6D67" w:rsidRPr="009147A8" w14:paraId="5F3877CB" w14:textId="77777777" w:rsidTr="00F10451">
        <w:tc>
          <w:tcPr>
            <w:tcW w:w="3951" w:type="pct"/>
            <w:gridSpan w:val="3"/>
          </w:tcPr>
          <w:p w14:paraId="747DFC87"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Nome/Denominação do Subscritor</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049" w:type="pct"/>
          </w:tcPr>
          <w:p w14:paraId="204DAED2"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Telefone/Fax:</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r w:rsidR="00DA6D67" w:rsidRPr="009147A8" w14:paraId="49033DF3" w14:textId="77777777" w:rsidTr="00F10451">
        <w:tc>
          <w:tcPr>
            <w:tcW w:w="1914" w:type="pct"/>
          </w:tcPr>
          <w:p w14:paraId="145887DB"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Endereço:</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173" w:type="pct"/>
          </w:tcPr>
          <w:p w14:paraId="23609F9F"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Bairro:</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864" w:type="pct"/>
          </w:tcPr>
          <w:p w14:paraId="4CD8600B"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CEP:</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049" w:type="pct"/>
          </w:tcPr>
          <w:p w14:paraId="23E95233"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Cidade/UF:</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r w:rsidR="00DA6D67" w:rsidRPr="009147A8" w14:paraId="1CE8A809" w14:textId="77777777" w:rsidTr="00F10451">
        <w:tc>
          <w:tcPr>
            <w:tcW w:w="1914" w:type="pct"/>
          </w:tcPr>
          <w:p w14:paraId="1C6C81CD"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Nacionalidade:</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173" w:type="pct"/>
          </w:tcPr>
          <w:p w14:paraId="09BC45E1"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Data de Nascimento:</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864" w:type="pct"/>
          </w:tcPr>
          <w:p w14:paraId="16D18941"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Estado Civil:</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049" w:type="pct"/>
          </w:tcPr>
          <w:p w14:paraId="7F8B4525"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Profissão:</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r w:rsidR="00DA6D67" w:rsidRPr="009147A8" w14:paraId="232EC4B2" w14:textId="77777777" w:rsidTr="00F10451">
        <w:trPr>
          <w:cantSplit/>
        </w:trPr>
        <w:tc>
          <w:tcPr>
            <w:tcW w:w="1914" w:type="pct"/>
          </w:tcPr>
          <w:p w14:paraId="24832408"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Cédula de Identidade:</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173" w:type="pct"/>
          </w:tcPr>
          <w:p w14:paraId="560A1AAD"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Órgão Emissor:</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914" w:type="pct"/>
            <w:gridSpan w:val="2"/>
          </w:tcPr>
          <w:p w14:paraId="5CAE3B88"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CPF/CNPJ:</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r w:rsidR="00DA6D67" w:rsidRPr="009147A8" w14:paraId="4D3F5E68" w14:textId="77777777" w:rsidTr="00F10451">
        <w:trPr>
          <w:cantSplit/>
        </w:trPr>
        <w:tc>
          <w:tcPr>
            <w:tcW w:w="3951" w:type="pct"/>
            <w:gridSpan w:val="3"/>
          </w:tcPr>
          <w:p w14:paraId="543CB6E8"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Representantes Legais/Procurador (se for o caso, anexar instrumento de delegação de poderes):</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049" w:type="pct"/>
          </w:tcPr>
          <w:p w14:paraId="3841BEBE"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Telefone:</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r w:rsidR="00DA6D67" w:rsidRPr="009147A8" w14:paraId="5708DCAE" w14:textId="77777777" w:rsidTr="00F10451">
        <w:tc>
          <w:tcPr>
            <w:tcW w:w="1914" w:type="pct"/>
          </w:tcPr>
          <w:p w14:paraId="13159E64"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Cédula de Identidade:</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173" w:type="pct"/>
          </w:tcPr>
          <w:p w14:paraId="3F6A174E"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Órgão Emissor:</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864" w:type="pct"/>
          </w:tcPr>
          <w:p w14:paraId="640CCEEB"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CPF:</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049" w:type="pct"/>
          </w:tcPr>
          <w:p w14:paraId="5A6B076E" w14:textId="77777777"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E-mail:</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bl>
    <w:p w14:paraId="0A06D143" w14:textId="77777777" w:rsidR="00DA6D67" w:rsidRPr="009147A8" w:rsidRDefault="00DA6D67" w:rsidP="00DA6D67">
      <w:pPr>
        <w:keepNext/>
        <w:widowControl/>
        <w:spacing w:after="120" w:line="240" w:lineRule="auto"/>
        <w:rPr>
          <w:rFonts w:ascii="Arial" w:hAnsi="Arial" w:cs="Arial"/>
          <w:b/>
          <w:bCs/>
          <w:sz w:val="20"/>
          <w:szCs w:val="20"/>
          <w:lang w:val="pt-BR"/>
        </w:rPr>
      </w:pPr>
      <w:r w:rsidRPr="009147A8">
        <w:rPr>
          <w:rFonts w:ascii="Arial" w:hAnsi="Arial" w:cs="Arial"/>
          <w:sz w:val="20"/>
          <w:szCs w:val="20"/>
          <w:lang w:val="pt-BR"/>
        </w:rPr>
        <w:br/>
      </w:r>
      <w:bookmarkStart w:id="3" w:name="_DV_M14"/>
      <w:bookmarkEnd w:id="3"/>
      <w:r w:rsidRPr="009147A8">
        <w:rPr>
          <w:rFonts w:ascii="Arial" w:hAnsi="Arial" w:cs="Arial"/>
          <w:b/>
          <w:bCs/>
          <w:sz w:val="20"/>
          <w:szCs w:val="20"/>
          <w:lang w:val="pt-BR"/>
        </w:rPr>
        <w:t>Cálculo do Valor de Integralização</w:t>
      </w: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3150"/>
        <w:gridCol w:w="3100"/>
        <w:gridCol w:w="3100"/>
      </w:tblGrid>
      <w:tr w:rsidR="00DA6D67" w:rsidRPr="00A17E31" w14:paraId="40083EF0" w14:textId="77777777" w:rsidTr="00F10451">
        <w:trPr>
          <w:trHeight w:val="403"/>
        </w:trPr>
        <w:tc>
          <w:tcPr>
            <w:tcW w:w="1684" w:type="pct"/>
            <w:tcBorders>
              <w:top w:val="single" w:sz="4" w:space="0" w:color="000000"/>
              <w:bottom w:val="single" w:sz="4" w:space="0" w:color="000000"/>
            </w:tcBorders>
          </w:tcPr>
          <w:p w14:paraId="4296A6D8" w14:textId="4068E0AB"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t>Preço Unitário de Emissão:</w:t>
            </w:r>
            <w:r w:rsidRPr="009147A8">
              <w:rPr>
                <w:rFonts w:ascii="Arial" w:hAnsi="Arial" w:cs="Arial"/>
                <w:sz w:val="20"/>
                <w:szCs w:val="20"/>
                <w:lang w:val="pt-BR"/>
              </w:rPr>
              <w:br/>
              <w:t>R$</w:t>
            </w:r>
            <w:r w:rsidR="005D39F6" w:rsidRPr="0013743D">
              <w:rPr>
                <w:rFonts w:ascii="Arial" w:hAnsi="Arial" w:cs="Arial"/>
                <w:sz w:val="20"/>
                <w:szCs w:val="20"/>
                <w:lang w:val="pt-BR"/>
              </w:rPr>
              <w:t>1.000,00</w:t>
            </w:r>
            <w:r w:rsidR="003455D3" w:rsidRPr="005D39F6">
              <w:rPr>
                <w:rFonts w:ascii="Arial" w:hAnsi="Arial" w:cs="Arial"/>
                <w:sz w:val="20"/>
                <w:szCs w:val="20"/>
                <w:lang w:val="pt-BR"/>
              </w:rPr>
              <w:t xml:space="preserve"> </w:t>
            </w:r>
            <w:r w:rsidRPr="005D39F6">
              <w:rPr>
                <w:rFonts w:ascii="Arial" w:hAnsi="Arial" w:cs="Arial"/>
                <w:sz w:val="20"/>
                <w:szCs w:val="20"/>
                <w:lang w:val="pt-BR"/>
              </w:rPr>
              <w:t>(</w:t>
            </w:r>
            <w:r w:rsidR="005D39F6" w:rsidRPr="0013743D">
              <w:rPr>
                <w:rFonts w:ascii="Arial" w:hAnsi="Arial" w:cs="Arial"/>
                <w:sz w:val="20"/>
                <w:szCs w:val="20"/>
                <w:lang w:val="pt-BR"/>
              </w:rPr>
              <w:t>um mil</w:t>
            </w:r>
            <w:r w:rsidR="003455D3" w:rsidRPr="009147A8">
              <w:rPr>
                <w:rFonts w:ascii="Arial" w:hAnsi="Arial" w:cs="Arial"/>
                <w:sz w:val="20"/>
                <w:szCs w:val="20"/>
                <w:lang w:val="pt-BR"/>
              </w:rPr>
              <w:t xml:space="preserve"> </w:t>
            </w:r>
            <w:r w:rsidRPr="009147A8">
              <w:rPr>
                <w:rFonts w:ascii="Arial" w:hAnsi="Arial" w:cs="Arial"/>
                <w:sz w:val="20"/>
                <w:szCs w:val="20"/>
                <w:lang w:val="pt-BR"/>
              </w:rPr>
              <w:t>reais)</w:t>
            </w:r>
          </w:p>
        </w:tc>
        <w:tc>
          <w:tcPr>
            <w:tcW w:w="1658" w:type="pct"/>
            <w:tcBorders>
              <w:top w:val="single" w:sz="4" w:space="0" w:color="000000"/>
              <w:bottom w:val="single" w:sz="4" w:space="0" w:color="000000"/>
            </w:tcBorders>
          </w:tcPr>
          <w:p w14:paraId="288B8C74"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t>Quantidade de Cotas Subscritas:</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r w:rsidRPr="009147A8">
              <w:rPr>
                <w:rFonts w:ascii="Arial" w:hAnsi="Arial" w:cs="Arial"/>
                <w:sz w:val="20"/>
                <w:szCs w:val="20"/>
                <w:lang w:val="pt-BR"/>
              </w:rPr>
              <w:t xml:space="preserve"> Cotas</w:t>
            </w:r>
          </w:p>
        </w:tc>
        <w:tc>
          <w:tcPr>
            <w:tcW w:w="1658" w:type="pct"/>
            <w:tcBorders>
              <w:top w:val="single" w:sz="4" w:space="0" w:color="000000"/>
              <w:bottom w:val="single" w:sz="4" w:space="0" w:color="000000"/>
            </w:tcBorders>
          </w:tcPr>
          <w:p w14:paraId="0C980BC5"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t>Preço Total de Integralização:</w:t>
            </w:r>
            <w:r w:rsidRPr="009147A8">
              <w:rPr>
                <w:rFonts w:ascii="Arial" w:hAnsi="Arial" w:cs="Arial"/>
                <w:sz w:val="20"/>
                <w:szCs w:val="20"/>
                <w:lang w:val="pt-BR"/>
              </w:rPr>
              <w:br/>
              <w:t>R$</w:t>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bl>
    <w:p w14:paraId="7C2D4C37" w14:textId="2C0CBB60" w:rsidR="005D39F6" w:rsidRPr="005D39F6" w:rsidRDefault="00DA6D67" w:rsidP="005D39F6">
      <w:pPr>
        <w:widowControl/>
        <w:spacing w:after="120" w:line="240" w:lineRule="auto"/>
        <w:rPr>
          <w:rFonts w:ascii="Arial" w:hAnsi="Arial" w:cs="Arial"/>
          <w:b/>
          <w:bCs/>
          <w:sz w:val="20"/>
          <w:szCs w:val="20"/>
          <w:lang w:val="pt-BR"/>
        </w:rPr>
      </w:pPr>
      <w:r w:rsidRPr="0013743D">
        <w:rPr>
          <w:rFonts w:ascii="Arial" w:hAnsi="Arial" w:cs="Arial"/>
          <w:b/>
          <w:bCs/>
          <w:sz w:val="20"/>
          <w:szCs w:val="20"/>
          <w:lang w:val="pt-BR"/>
        </w:rPr>
        <w:lastRenderedPageBreak/>
        <w:br/>
      </w:r>
      <w:bookmarkStart w:id="4" w:name="_DV_M15"/>
      <w:bookmarkEnd w:id="4"/>
      <w:r w:rsidR="005D39F6" w:rsidRPr="005D39F6">
        <w:rPr>
          <w:rFonts w:ascii="Arial" w:hAnsi="Arial" w:cs="Arial"/>
          <w:b/>
          <w:bCs/>
          <w:sz w:val="20"/>
          <w:szCs w:val="20"/>
          <w:lang w:val="pt-BR"/>
        </w:rPr>
        <w:t>Condição de Aceitação da Oferta</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9350"/>
      </w:tblGrid>
      <w:tr w:rsidR="005D39F6" w:rsidRPr="00A17E31" w14:paraId="41B12E37" w14:textId="77777777" w:rsidTr="005D39F6">
        <w:trPr>
          <w:trHeight w:val="534"/>
          <w:jc w:val="center"/>
        </w:trPr>
        <w:tc>
          <w:tcPr>
            <w:tcW w:w="5000" w:type="pct"/>
            <w:tcBorders>
              <w:top w:val="single" w:sz="4" w:space="0" w:color="auto"/>
              <w:left w:val="single" w:sz="4" w:space="0" w:color="auto"/>
              <w:bottom w:val="single" w:sz="4" w:space="0" w:color="auto"/>
              <w:right w:val="single" w:sz="4" w:space="0" w:color="auto"/>
            </w:tcBorders>
          </w:tcPr>
          <w:p w14:paraId="70D1CA85" w14:textId="77777777" w:rsidR="005D39F6" w:rsidRDefault="005D39F6" w:rsidP="005D39F6">
            <w:pPr>
              <w:widowControl/>
              <w:spacing w:after="120" w:line="240" w:lineRule="auto"/>
              <w:rPr>
                <w:rFonts w:ascii="Arial" w:hAnsi="Arial" w:cs="Arial"/>
                <w:sz w:val="20"/>
                <w:szCs w:val="20"/>
                <w:lang w:val="pt-BR"/>
              </w:rPr>
            </w:pPr>
            <w:r w:rsidRPr="0013743D">
              <w:rPr>
                <w:rFonts w:ascii="Arial" w:hAnsi="Arial" w:cs="Arial"/>
                <w:sz w:val="20"/>
                <w:szCs w:val="20"/>
                <w:lang w:val="pt-BR"/>
              </w:rPr>
              <w:t>O Investidor condiciona a aceitação da Oferta à:</w:t>
            </w:r>
          </w:p>
          <w:p w14:paraId="1F2F1C37" w14:textId="77777777" w:rsidR="005D39F6" w:rsidRPr="0013743D" w:rsidRDefault="005D39F6" w:rsidP="005D39F6">
            <w:pPr>
              <w:widowControl/>
              <w:spacing w:after="120" w:line="240" w:lineRule="auto"/>
              <w:rPr>
                <w:rFonts w:ascii="Arial" w:hAnsi="Arial" w:cs="Arial"/>
                <w:sz w:val="20"/>
                <w:szCs w:val="20"/>
                <w:lang w:val="pt-BR"/>
              </w:rPr>
            </w:pPr>
          </w:p>
          <w:p w14:paraId="0547DB73" w14:textId="77777777" w:rsidR="005D39F6" w:rsidRPr="0013743D" w:rsidRDefault="005D39F6" w:rsidP="005D39F6">
            <w:pPr>
              <w:widowControl/>
              <w:spacing w:after="120" w:line="240" w:lineRule="auto"/>
              <w:rPr>
                <w:rFonts w:ascii="Arial" w:hAnsi="Arial" w:cs="Arial"/>
                <w:sz w:val="20"/>
                <w:szCs w:val="20"/>
                <w:lang w:val="pt-BR"/>
              </w:rPr>
            </w:pPr>
            <w:proofErr w:type="gramStart"/>
            <w:r w:rsidRPr="0013743D">
              <w:rPr>
                <w:rFonts w:ascii="Arial" w:hAnsi="Arial" w:cs="Arial"/>
                <w:sz w:val="20"/>
                <w:szCs w:val="20"/>
                <w:lang w:val="pt-BR"/>
              </w:rPr>
              <w:t>[  ]</w:t>
            </w:r>
            <w:proofErr w:type="gramEnd"/>
            <w:r w:rsidRPr="0013743D">
              <w:rPr>
                <w:rFonts w:ascii="Arial" w:hAnsi="Arial" w:cs="Arial"/>
                <w:sz w:val="20"/>
                <w:szCs w:val="20"/>
                <w:lang w:val="pt-BR"/>
              </w:rPr>
              <w:t> colocação do montante total da Oferta;</w:t>
            </w:r>
          </w:p>
          <w:p w14:paraId="30BA6FCB" w14:textId="77777777" w:rsidR="005D39F6" w:rsidRPr="0013743D" w:rsidRDefault="005D39F6" w:rsidP="005D39F6">
            <w:pPr>
              <w:widowControl/>
              <w:spacing w:after="120" w:line="240" w:lineRule="auto"/>
              <w:rPr>
                <w:rFonts w:ascii="Arial" w:hAnsi="Arial" w:cs="Arial"/>
                <w:sz w:val="20"/>
                <w:szCs w:val="20"/>
                <w:lang w:val="pt-BR"/>
              </w:rPr>
            </w:pPr>
          </w:p>
          <w:p w14:paraId="7B5F8E3E" w14:textId="751583F6" w:rsidR="005D39F6" w:rsidRPr="0013743D" w:rsidRDefault="005D39F6" w:rsidP="005D39F6">
            <w:pPr>
              <w:widowControl/>
              <w:spacing w:after="120" w:line="240" w:lineRule="auto"/>
              <w:rPr>
                <w:rFonts w:ascii="Arial" w:hAnsi="Arial" w:cs="Arial"/>
                <w:sz w:val="20"/>
                <w:szCs w:val="20"/>
                <w:lang w:val="pt-BR"/>
              </w:rPr>
            </w:pPr>
            <w:proofErr w:type="gramStart"/>
            <w:r w:rsidRPr="0013743D">
              <w:rPr>
                <w:rFonts w:ascii="Arial" w:hAnsi="Arial" w:cs="Arial"/>
                <w:sz w:val="20"/>
                <w:szCs w:val="20"/>
                <w:lang w:val="pt-BR"/>
              </w:rPr>
              <w:t>[  ]</w:t>
            </w:r>
            <w:proofErr w:type="gramEnd"/>
            <w:r w:rsidRPr="0013743D">
              <w:rPr>
                <w:rFonts w:ascii="Arial" w:hAnsi="Arial" w:cs="Arial"/>
                <w:sz w:val="20"/>
                <w:szCs w:val="20"/>
                <w:lang w:val="pt-BR"/>
              </w:rPr>
              <w:t xml:space="preserve"> colocação igual ou maior que o Montante Mínimo da Oferta e menor que o </w:t>
            </w:r>
            <w:r w:rsidR="006D1A8B">
              <w:rPr>
                <w:rFonts w:ascii="Arial" w:hAnsi="Arial" w:cs="Arial"/>
                <w:sz w:val="20"/>
                <w:szCs w:val="20"/>
                <w:lang w:val="pt-BR"/>
              </w:rPr>
              <w:t>Montante Máximo da Oferta</w:t>
            </w:r>
            <w:r w:rsidRPr="0013743D">
              <w:rPr>
                <w:rFonts w:ascii="Arial" w:hAnsi="Arial" w:cs="Arial"/>
                <w:sz w:val="20"/>
                <w:szCs w:val="20"/>
                <w:lang w:val="pt-BR"/>
              </w:rPr>
              <w:t xml:space="preserve">. Na hipótese de implemento dessa condição, desejo adquirir: </w:t>
            </w:r>
          </w:p>
          <w:p w14:paraId="1B7F03BD" w14:textId="77777777" w:rsidR="005D39F6" w:rsidRPr="0013743D" w:rsidRDefault="005D39F6" w:rsidP="0013743D">
            <w:pPr>
              <w:widowControl/>
              <w:spacing w:after="120" w:line="240" w:lineRule="auto"/>
              <w:ind w:left="351"/>
              <w:rPr>
                <w:rFonts w:ascii="Arial" w:hAnsi="Arial" w:cs="Arial"/>
                <w:sz w:val="20"/>
                <w:szCs w:val="20"/>
                <w:lang w:val="pt-BR"/>
              </w:rPr>
            </w:pPr>
            <w:proofErr w:type="gramStart"/>
            <w:r w:rsidRPr="0013743D">
              <w:rPr>
                <w:rFonts w:ascii="Arial" w:hAnsi="Arial" w:cs="Arial"/>
                <w:sz w:val="20"/>
                <w:szCs w:val="20"/>
                <w:lang w:val="pt-BR"/>
              </w:rPr>
              <w:t>[  ]</w:t>
            </w:r>
            <w:proofErr w:type="gramEnd"/>
            <w:r w:rsidRPr="0013743D">
              <w:rPr>
                <w:rFonts w:ascii="Arial" w:hAnsi="Arial" w:cs="Arial"/>
                <w:sz w:val="20"/>
                <w:szCs w:val="20"/>
                <w:lang w:val="pt-BR"/>
              </w:rPr>
              <w:t>  a totalidade das Cotas discriminadas no quadro “Quantidade de Cotas Subscritas” deste Boletim de Subscrição.</w:t>
            </w:r>
          </w:p>
          <w:p w14:paraId="2AD0223D" w14:textId="1FD3B6B2" w:rsidR="005D39F6" w:rsidRPr="0013743D" w:rsidRDefault="005D39F6" w:rsidP="0013743D">
            <w:pPr>
              <w:widowControl/>
              <w:spacing w:after="120" w:line="240" w:lineRule="auto"/>
              <w:ind w:left="351"/>
              <w:rPr>
                <w:rFonts w:ascii="Arial" w:hAnsi="Arial" w:cs="Arial"/>
                <w:sz w:val="20"/>
                <w:szCs w:val="20"/>
                <w:lang w:val="pt-BR"/>
              </w:rPr>
            </w:pPr>
            <w:proofErr w:type="gramStart"/>
            <w:r w:rsidRPr="0013743D">
              <w:rPr>
                <w:rFonts w:ascii="Arial" w:hAnsi="Arial" w:cs="Arial"/>
                <w:sz w:val="20"/>
                <w:szCs w:val="20"/>
                <w:lang w:val="pt-BR"/>
              </w:rPr>
              <w:t>[ ]</w:t>
            </w:r>
            <w:proofErr w:type="gramEnd"/>
            <w:r w:rsidRPr="0013743D">
              <w:rPr>
                <w:rFonts w:ascii="Arial" w:hAnsi="Arial" w:cs="Arial"/>
                <w:sz w:val="20"/>
                <w:szCs w:val="20"/>
                <w:lang w:val="pt-BR"/>
              </w:rPr>
              <w:t>  a quantidade equivalente à proporção entre o número de Cotas efetivamente distribuídas até o encerramento da Oferta e</w:t>
            </w:r>
            <w:r w:rsidR="006D1A8B">
              <w:rPr>
                <w:rFonts w:ascii="Arial" w:hAnsi="Arial" w:cs="Arial"/>
                <w:sz w:val="20"/>
                <w:szCs w:val="20"/>
                <w:lang w:val="pt-BR"/>
              </w:rPr>
              <w:t xml:space="preserve"> o</w:t>
            </w:r>
            <w:r w:rsidRPr="0013743D">
              <w:rPr>
                <w:rFonts w:ascii="Arial" w:hAnsi="Arial" w:cs="Arial"/>
                <w:sz w:val="20"/>
                <w:szCs w:val="20"/>
                <w:lang w:val="pt-BR"/>
              </w:rPr>
              <w:t xml:space="preserve"> </w:t>
            </w:r>
            <w:r w:rsidR="006D1A8B">
              <w:rPr>
                <w:rFonts w:ascii="Arial" w:hAnsi="Arial" w:cs="Arial"/>
                <w:sz w:val="20"/>
                <w:szCs w:val="20"/>
                <w:lang w:val="pt-BR"/>
              </w:rPr>
              <w:t>Montante Máximo</w:t>
            </w:r>
            <w:r w:rsidRPr="0013743D">
              <w:rPr>
                <w:rFonts w:ascii="Arial" w:hAnsi="Arial" w:cs="Arial"/>
                <w:sz w:val="20"/>
                <w:szCs w:val="20"/>
                <w:lang w:val="pt-BR"/>
              </w:rPr>
              <w:t xml:space="preserve"> da Oferta.</w:t>
            </w:r>
          </w:p>
          <w:p w14:paraId="58E41973" w14:textId="77777777" w:rsidR="005D39F6" w:rsidRPr="005D39F6" w:rsidRDefault="005D39F6" w:rsidP="005D39F6">
            <w:pPr>
              <w:widowControl/>
              <w:spacing w:after="120" w:line="240" w:lineRule="auto"/>
              <w:rPr>
                <w:rFonts w:ascii="Arial" w:hAnsi="Arial" w:cs="Arial"/>
                <w:b/>
                <w:bCs/>
                <w:sz w:val="20"/>
                <w:szCs w:val="20"/>
                <w:lang w:val="pt-BR"/>
              </w:rPr>
            </w:pPr>
            <w:r w:rsidRPr="0013743D">
              <w:rPr>
                <w:rFonts w:ascii="Arial" w:hAnsi="Arial" w:cs="Arial"/>
                <w:sz w:val="20"/>
                <w:szCs w:val="20"/>
                <w:lang w:val="pt-BR"/>
              </w:rPr>
              <w:t>Não havendo manifestação do Investidor a esse respeito, presume-se o interesse em subscrever a totalidade das Cotas correspondentes ao valor indicado neste Boletim de Subscrição</w:t>
            </w:r>
            <w:r w:rsidRPr="005D39F6">
              <w:rPr>
                <w:rFonts w:ascii="Arial" w:hAnsi="Arial" w:cs="Arial"/>
                <w:b/>
                <w:bCs/>
                <w:sz w:val="20"/>
                <w:szCs w:val="20"/>
                <w:lang w:val="pt-BR"/>
              </w:rPr>
              <w:t>.</w:t>
            </w:r>
          </w:p>
        </w:tc>
      </w:tr>
    </w:tbl>
    <w:p w14:paraId="7AF16D0E" w14:textId="77777777" w:rsidR="005D39F6" w:rsidRDefault="005D39F6" w:rsidP="00DA6D67">
      <w:pPr>
        <w:widowControl/>
        <w:spacing w:after="120" w:line="240" w:lineRule="auto"/>
        <w:rPr>
          <w:rFonts w:ascii="Arial" w:hAnsi="Arial" w:cs="Arial"/>
          <w:b/>
          <w:bCs/>
          <w:sz w:val="20"/>
          <w:szCs w:val="20"/>
          <w:lang w:val="pt-BR"/>
        </w:rPr>
      </w:pPr>
    </w:p>
    <w:p w14:paraId="176343C6" w14:textId="3B63B3B1" w:rsidR="00DA6D67" w:rsidRPr="009147A8" w:rsidRDefault="00DA6D67" w:rsidP="00DA6D67">
      <w:pPr>
        <w:widowControl/>
        <w:spacing w:after="120" w:line="240" w:lineRule="auto"/>
        <w:rPr>
          <w:rFonts w:ascii="Arial" w:hAnsi="Arial" w:cs="Arial"/>
          <w:b/>
          <w:sz w:val="20"/>
          <w:szCs w:val="20"/>
          <w:lang w:val="pt-BR"/>
        </w:rPr>
      </w:pPr>
      <w:r w:rsidRPr="009147A8">
        <w:rPr>
          <w:rFonts w:ascii="Arial" w:hAnsi="Arial" w:cs="Arial"/>
          <w:b/>
          <w:bCs/>
          <w:sz w:val="20"/>
          <w:szCs w:val="20"/>
          <w:lang w:val="pt-BR"/>
        </w:rPr>
        <w:t>Forma de Pagamento de Integralização</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9350"/>
      </w:tblGrid>
      <w:tr w:rsidR="005D39F6" w:rsidRPr="00A17E31" w14:paraId="6E22E0B2" w14:textId="77777777" w:rsidTr="005D39F6">
        <w:trPr>
          <w:trHeight w:val="534"/>
          <w:jc w:val="center"/>
        </w:trPr>
        <w:tc>
          <w:tcPr>
            <w:tcW w:w="5000" w:type="pct"/>
            <w:tcBorders>
              <w:top w:val="single" w:sz="4" w:space="0" w:color="auto"/>
              <w:left w:val="single" w:sz="4" w:space="0" w:color="auto"/>
              <w:bottom w:val="single" w:sz="4" w:space="0" w:color="auto"/>
              <w:right w:val="single" w:sz="4" w:space="0" w:color="auto"/>
            </w:tcBorders>
          </w:tcPr>
          <w:p w14:paraId="0DAAD7BB" w14:textId="58CD2FE8" w:rsidR="005D39F6" w:rsidRPr="007B75A2" w:rsidRDefault="005D39F6" w:rsidP="005D39F6">
            <w:pPr>
              <w:widowControl/>
              <w:spacing w:after="120" w:line="240" w:lineRule="auto"/>
              <w:rPr>
                <w:rFonts w:ascii="Arial" w:hAnsi="Arial" w:cs="Arial"/>
                <w:sz w:val="20"/>
                <w:szCs w:val="20"/>
                <w:lang w:val="pt-BR"/>
              </w:rPr>
            </w:pPr>
            <w:r w:rsidRPr="005D39F6">
              <w:rPr>
                <w:rFonts w:ascii="Arial" w:hAnsi="Arial" w:cs="Arial"/>
                <w:sz w:val="20"/>
                <w:szCs w:val="20"/>
                <w:lang w:val="pt-BR"/>
              </w:rPr>
              <w:t>As Cotas deverão ser integralizadas à vista em moeda corrente nacional:</w:t>
            </w:r>
            <w:r w:rsidR="00855DD8">
              <w:rPr>
                <w:rFonts w:ascii="Arial" w:hAnsi="Arial" w:cs="Arial"/>
                <w:sz w:val="20"/>
                <w:szCs w:val="20"/>
                <w:lang w:val="pt-BR"/>
              </w:rPr>
              <w:t xml:space="preserve"> (i)</w:t>
            </w:r>
            <w:r w:rsidRPr="005D39F6">
              <w:rPr>
                <w:rFonts w:ascii="Arial" w:hAnsi="Arial" w:cs="Arial"/>
                <w:sz w:val="20"/>
                <w:szCs w:val="20"/>
                <w:lang w:val="pt-BR"/>
              </w:rPr>
              <w:t> por meio de transferência eletrônica disponível – TED do respectivo valor para a conta corrente de titularidade do Fundo; ou</w:t>
            </w:r>
            <w:r w:rsidR="007B75A2">
              <w:rPr>
                <w:rFonts w:ascii="Arial" w:hAnsi="Arial" w:cs="Arial"/>
                <w:sz w:val="20"/>
                <w:szCs w:val="20"/>
                <w:lang w:val="pt-BR"/>
              </w:rPr>
              <w:t xml:space="preserve"> (</w:t>
            </w:r>
            <w:proofErr w:type="spellStart"/>
            <w:r w:rsidR="007B75A2">
              <w:rPr>
                <w:rFonts w:ascii="Arial" w:hAnsi="Arial" w:cs="Arial"/>
                <w:sz w:val="20"/>
                <w:szCs w:val="20"/>
                <w:lang w:val="pt-BR"/>
              </w:rPr>
              <w:t>ii</w:t>
            </w:r>
            <w:proofErr w:type="spellEnd"/>
            <w:r w:rsidR="007B75A2">
              <w:rPr>
                <w:rFonts w:ascii="Arial" w:hAnsi="Arial" w:cs="Arial"/>
                <w:sz w:val="20"/>
                <w:szCs w:val="20"/>
                <w:lang w:val="pt-BR"/>
              </w:rPr>
              <w:t xml:space="preserve">) </w:t>
            </w:r>
            <w:r w:rsidRPr="005D39F6">
              <w:rPr>
                <w:rFonts w:ascii="Arial" w:hAnsi="Arial" w:cs="Arial"/>
                <w:sz w:val="20"/>
                <w:szCs w:val="20"/>
                <w:lang w:val="pt-BR"/>
              </w:rPr>
              <w:t>por outro mecanismo de transferência de recursos autorizado pelo Banco Central do Brasil, aprovado pela Administradora.</w:t>
            </w:r>
          </w:p>
        </w:tc>
      </w:tr>
    </w:tbl>
    <w:p w14:paraId="37557F88" w14:textId="378BE772" w:rsidR="00DA6D67" w:rsidRPr="009147A8" w:rsidRDefault="00DA6D67" w:rsidP="00DA6D67">
      <w:pPr>
        <w:widowControl/>
        <w:spacing w:after="120" w:line="240" w:lineRule="auto"/>
        <w:rPr>
          <w:rFonts w:ascii="Arial" w:hAnsi="Arial" w:cs="Arial"/>
          <w:b/>
          <w:bCs/>
          <w:sz w:val="20"/>
          <w:szCs w:val="20"/>
          <w:lang w:val="pt-BR"/>
        </w:rPr>
      </w:pPr>
      <w:r w:rsidRPr="009147A8">
        <w:rPr>
          <w:rFonts w:ascii="Arial" w:hAnsi="Arial" w:cs="Arial"/>
          <w:sz w:val="20"/>
          <w:szCs w:val="20"/>
          <w:lang w:val="pt-BR"/>
        </w:rPr>
        <w:br/>
      </w:r>
      <w:bookmarkStart w:id="5" w:name="_DV_M16"/>
      <w:bookmarkEnd w:id="5"/>
      <w:r w:rsidRPr="009147A8">
        <w:rPr>
          <w:rFonts w:ascii="Arial" w:hAnsi="Arial" w:cs="Arial"/>
          <w:b/>
          <w:bCs/>
          <w:sz w:val="20"/>
          <w:szCs w:val="20"/>
          <w:lang w:val="pt-BR"/>
        </w:rPr>
        <w:t>Forma de Pagamento de Amortização e Resgate de Cotas</w:t>
      </w: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3150"/>
        <w:gridCol w:w="3100"/>
        <w:gridCol w:w="3100"/>
      </w:tblGrid>
      <w:tr w:rsidR="00DA6D67" w:rsidRPr="009147A8" w14:paraId="2730B4EA" w14:textId="13302DF3" w:rsidTr="00F10451">
        <w:trPr>
          <w:trHeight w:val="347"/>
        </w:trPr>
        <w:tc>
          <w:tcPr>
            <w:tcW w:w="1684" w:type="pct"/>
            <w:tcBorders>
              <w:top w:val="single" w:sz="4" w:space="0" w:color="000000"/>
              <w:bottom w:val="single" w:sz="4" w:space="0" w:color="000000"/>
            </w:tcBorders>
          </w:tcPr>
          <w:p w14:paraId="660A503B" w14:textId="2D3D13EB"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Forma de Pagamento:</w:t>
            </w:r>
            <w:r w:rsidRPr="009147A8">
              <w:rPr>
                <w:rFonts w:ascii="Arial" w:hAnsi="Arial" w:cs="Arial"/>
                <w:sz w:val="20"/>
                <w:szCs w:val="20"/>
                <w:lang w:val="pt-BR"/>
              </w:rPr>
              <w:br/>
              <w:t>TED</w:t>
            </w:r>
          </w:p>
        </w:tc>
        <w:tc>
          <w:tcPr>
            <w:tcW w:w="1658" w:type="pct"/>
            <w:tcBorders>
              <w:top w:val="single" w:sz="4" w:space="0" w:color="000000"/>
              <w:bottom w:val="single" w:sz="4" w:space="0" w:color="000000"/>
            </w:tcBorders>
          </w:tcPr>
          <w:p w14:paraId="34B4E0BE" w14:textId="1B31EFD2"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Banco/Agência nº:</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c>
          <w:tcPr>
            <w:tcW w:w="1658" w:type="pct"/>
            <w:tcBorders>
              <w:top w:val="single" w:sz="4" w:space="0" w:color="000000"/>
              <w:bottom w:val="single" w:sz="4" w:space="0" w:color="000000"/>
            </w:tcBorders>
          </w:tcPr>
          <w:p w14:paraId="1A1EB5CA" w14:textId="13CBF985" w:rsidR="00DA6D67" w:rsidRPr="009147A8" w:rsidRDefault="00DA6D67" w:rsidP="00F10451">
            <w:pPr>
              <w:widowControl/>
              <w:spacing w:after="120" w:line="240" w:lineRule="auto"/>
              <w:jc w:val="left"/>
              <w:rPr>
                <w:rFonts w:ascii="Arial" w:hAnsi="Arial" w:cs="Arial"/>
                <w:sz w:val="20"/>
                <w:szCs w:val="20"/>
                <w:lang w:val="pt-BR"/>
              </w:rPr>
            </w:pPr>
            <w:r w:rsidRPr="009147A8">
              <w:rPr>
                <w:rFonts w:ascii="Arial" w:hAnsi="Arial" w:cs="Arial"/>
                <w:sz w:val="20"/>
                <w:szCs w:val="20"/>
                <w:lang w:val="pt-BR"/>
              </w:rPr>
              <w:t>Conta nº:</w:t>
            </w:r>
            <w:r w:rsidRPr="009147A8">
              <w:rPr>
                <w:rFonts w:ascii="Arial" w:hAnsi="Arial" w:cs="Arial"/>
                <w:sz w:val="20"/>
                <w:szCs w:val="20"/>
                <w:lang w:val="pt-BR"/>
              </w:rPr>
              <w:br/>
            </w:r>
            <w:r w:rsidRPr="009147A8">
              <w:rPr>
                <w:rFonts w:ascii="Arial" w:hAnsi="Arial" w:cs="Arial"/>
                <w:b/>
                <w:bCs/>
                <w:sz w:val="20"/>
                <w:szCs w:val="20"/>
                <w:lang w:val="pt-BR"/>
              </w:rPr>
              <w:t>[</w:t>
            </w:r>
            <w:r w:rsidRPr="009147A8">
              <w:rPr>
                <w:rFonts w:ascii="Arial" w:hAnsi="Arial" w:cs="Arial"/>
                <w:sz w:val="20"/>
                <w:szCs w:val="20"/>
                <w:lang w:val="pt-BR"/>
              </w:rPr>
              <w:t>●</w:t>
            </w:r>
            <w:r w:rsidRPr="009147A8">
              <w:rPr>
                <w:rFonts w:ascii="Arial" w:hAnsi="Arial" w:cs="Arial"/>
                <w:b/>
                <w:bCs/>
                <w:sz w:val="20"/>
                <w:szCs w:val="20"/>
                <w:lang w:val="pt-BR"/>
              </w:rPr>
              <w:t>]</w:t>
            </w:r>
          </w:p>
        </w:tc>
      </w:tr>
    </w:tbl>
    <w:p w14:paraId="12994722" w14:textId="77777777" w:rsidR="00DA6D67" w:rsidRDefault="00DA6D67" w:rsidP="00DA6D67">
      <w:pPr>
        <w:widowControl/>
        <w:spacing w:after="120" w:line="240" w:lineRule="auto"/>
        <w:rPr>
          <w:rFonts w:ascii="Arial" w:hAnsi="Arial" w:cs="Arial"/>
          <w:sz w:val="20"/>
          <w:szCs w:val="20"/>
          <w:lang w:val="pt-BR"/>
        </w:rPr>
      </w:pPr>
    </w:p>
    <w:p w14:paraId="57AC8239" w14:textId="3386D952" w:rsidR="005D39F6" w:rsidRPr="0013743D" w:rsidRDefault="005D39F6" w:rsidP="00DA6D67">
      <w:pPr>
        <w:widowControl/>
        <w:spacing w:after="120" w:line="240" w:lineRule="auto"/>
        <w:rPr>
          <w:rFonts w:ascii="Arial" w:hAnsi="Arial" w:cs="Arial"/>
          <w:b/>
          <w:bCs/>
          <w:sz w:val="20"/>
          <w:szCs w:val="20"/>
          <w:lang w:val="pt-BR"/>
        </w:rPr>
      </w:pPr>
      <w:r w:rsidRPr="0013743D">
        <w:rPr>
          <w:rFonts w:ascii="Arial" w:hAnsi="Arial" w:cs="Arial"/>
          <w:b/>
          <w:bCs/>
          <w:sz w:val="20"/>
          <w:szCs w:val="20"/>
          <w:lang w:val="pt-BR"/>
        </w:rPr>
        <w:t>Declaração do Subscritor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350"/>
      </w:tblGrid>
      <w:tr w:rsidR="00DA6D67" w:rsidRPr="00A17E31" w14:paraId="732055D9" w14:textId="77777777" w:rsidTr="00F10451">
        <w:trPr>
          <w:trHeight w:val="515"/>
        </w:trPr>
        <w:tc>
          <w:tcPr>
            <w:tcW w:w="5000" w:type="pct"/>
            <w:vAlign w:val="center"/>
          </w:tcPr>
          <w:p w14:paraId="3CBCCFF9" w14:textId="77777777" w:rsidR="007432F3"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t xml:space="preserve">O Subscritor abaixo assinado declara, para todos os fins de direito, que: </w:t>
            </w:r>
          </w:p>
          <w:p w14:paraId="745161C5" w14:textId="7120BE7F" w:rsidR="007432F3" w:rsidRPr="007432F3" w:rsidRDefault="00DA6D67" w:rsidP="007432F3">
            <w:pPr>
              <w:pStyle w:val="PargrafodaLista"/>
              <w:widowControl/>
              <w:numPr>
                <w:ilvl w:val="0"/>
                <w:numId w:val="2"/>
              </w:numPr>
              <w:spacing w:after="120" w:line="276" w:lineRule="auto"/>
              <w:rPr>
                <w:rFonts w:ascii="Arial" w:hAnsi="Arial" w:cs="Arial"/>
                <w:sz w:val="20"/>
                <w:szCs w:val="20"/>
                <w:lang w:val="pt-BR"/>
              </w:rPr>
            </w:pPr>
            <w:proofErr w:type="spellStart"/>
            <w:r w:rsidRPr="007432F3">
              <w:rPr>
                <w:rFonts w:ascii="Arial" w:hAnsi="Arial" w:cs="Arial"/>
                <w:sz w:val="20"/>
                <w:szCs w:val="20"/>
                <w:lang w:val="pt-BR"/>
              </w:rPr>
              <w:t>é</w:t>
            </w:r>
            <w:proofErr w:type="spellEnd"/>
            <w:r w:rsidRPr="007432F3">
              <w:rPr>
                <w:rFonts w:ascii="Arial" w:hAnsi="Arial" w:cs="Arial"/>
                <w:sz w:val="20"/>
                <w:szCs w:val="20"/>
                <w:lang w:val="pt-BR"/>
              </w:rPr>
              <w:t xml:space="preserve"> investidor qualificado nos termos do Art. 12 da Resolução CVM nº 30, de 11 de maio de 2021, conforme alterada; </w:t>
            </w:r>
          </w:p>
          <w:p w14:paraId="4F9A5909" w14:textId="73E8F600"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 xml:space="preserve">está de acordo com os termos e condições expressos neste Boletim de Subscrição de Cotas; </w:t>
            </w:r>
          </w:p>
          <w:p w14:paraId="207132E2" w14:textId="598E9D5D"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recebeu exemplares atualizados do Regulamento</w:t>
            </w:r>
            <w:r w:rsidR="00D5093F" w:rsidRPr="007432F3">
              <w:rPr>
                <w:rFonts w:ascii="Arial" w:hAnsi="Arial" w:cs="Arial"/>
                <w:sz w:val="20"/>
                <w:szCs w:val="20"/>
                <w:lang w:val="pt-BR"/>
              </w:rPr>
              <w:t xml:space="preserve"> e seu respectivo Anexo</w:t>
            </w:r>
            <w:r w:rsidR="007C6C6F" w:rsidRPr="007432F3">
              <w:rPr>
                <w:rFonts w:ascii="Arial" w:hAnsi="Arial" w:cs="Arial"/>
                <w:sz w:val="20"/>
                <w:szCs w:val="20"/>
                <w:lang w:val="pt-BR"/>
              </w:rPr>
              <w:t xml:space="preserve"> Descritivo</w:t>
            </w:r>
            <w:r w:rsidR="007432F3">
              <w:rPr>
                <w:rFonts w:ascii="Arial" w:hAnsi="Arial" w:cs="Arial"/>
                <w:sz w:val="20"/>
                <w:szCs w:val="20"/>
                <w:lang w:val="pt-BR"/>
              </w:rPr>
              <w:t xml:space="preserve"> e do Prospecto</w:t>
            </w:r>
            <w:r w:rsidR="00DF7454">
              <w:rPr>
                <w:rFonts w:ascii="Arial" w:hAnsi="Arial" w:cs="Arial"/>
                <w:sz w:val="20"/>
                <w:szCs w:val="20"/>
                <w:lang w:val="pt-BR"/>
              </w:rPr>
              <w:t xml:space="preserve"> (conforme abaixo definido)</w:t>
            </w:r>
            <w:r w:rsidRPr="007432F3">
              <w:rPr>
                <w:rFonts w:ascii="Arial" w:hAnsi="Arial" w:cs="Arial"/>
                <w:sz w:val="20"/>
                <w:szCs w:val="20"/>
                <w:lang w:val="pt-BR"/>
              </w:rPr>
              <w:t>, estando ciente e plenamente de acordo com todos os seus termos e condições, em particular, aqueles relativos aos objetivos e à política de investimentos d</w:t>
            </w:r>
            <w:r w:rsidR="00D5093F" w:rsidRPr="007432F3">
              <w:rPr>
                <w:rFonts w:ascii="Arial" w:hAnsi="Arial" w:cs="Arial"/>
                <w:sz w:val="20"/>
                <w:szCs w:val="20"/>
                <w:lang w:val="pt-BR"/>
              </w:rPr>
              <w:t>a Classe</w:t>
            </w:r>
            <w:r w:rsidR="007C6C6F" w:rsidRPr="007432F3">
              <w:rPr>
                <w:rFonts w:ascii="Arial" w:hAnsi="Arial" w:cs="Arial"/>
                <w:sz w:val="20"/>
                <w:szCs w:val="20"/>
                <w:lang w:val="pt-BR"/>
              </w:rPr>
              <w:t xml:space="preserve"> Única</w:t>
            </w:r>
            <w:r w:rsidRPr="007432F3">
              <w:rPr>
                <w:rFonts w:ascii="Arial" w:hAnsi="Arial" w:cs="Arial"/>
                <w:sz w:val="20"/>
                <w:szCs w:val="20"/>
                <w:lang w:val="pt-BR"/>
              </w:rPr>
              <w:t xml:space="preserve">, </w:t>
            </w:r>
            <w:r w:rsidR="0068144C" w:rsidRPr="007432F3">
              <w:rPr>
                <w:rFonts w:ascii="Arial" w:hAnsi="Arial" w:cs="Arial"/>
                <w:sz w:val="20"/>
                <w:szCs w:val="20"/>
                <w:lang w:val="pt-BR"/>
              </w:rPr>
              <w:t xml:space="preserve">e </w:t>
            </w:r>
            <w:r w:rsidRPr="007432F3">
              <w:rPr>
                <w:rFonts w:ascii="Arial" w:hAnsi="Arial" w:cs="Arial"/>
                <w:sz w:val="20"/>
                <w:szCs w:val="20"/>
                <w:lang w:val="pt-BR"/>
              </w:rPr>
              <w:t xml:space="preserve">aos </w:t>
            </w:r>
            <w:r w:rsidR="00D5093F" w:rsidRPr="007432F3">
              <w:rPr>
                <w:rFonts w:ascii="Arial" w:hAnsi="Arial" w:cs="Arial"/>
                <w:sz w:val="20"/>
                <w:szCs w:val="20"/>
                <w:lang w:val="pt-BR"/>
              </w:rPr>
              <w:t xml:space="preserve">seus respectivos </w:t>
            </w:r>
            <w:r w:rsidRPr="007432F3">
              <w:rPr>
                <w:rFonts w:ascii="Arial" w:hAnsi="Arial" w:cs="Arial"/>
                <w:sz w:val="20"/>
                <w:szCs w:val="20"/>
                <w:lang w:val="pt-BR"/>
              </w:rPr>
              <w:t>riscos</w:t>
            </w:r>
            <w:r w:rsidR="0068144C" w:rsidRPr="007432F3">
              <w:rPr>
                <w:rFonts w:ascii="Arial" w:hAnsi="Arial" w:cs="Arial"/>
                <w:sz w:val="20"/>
                <w:szCs w:val="20"/>
                <w:lang w:val="pt-BR"/>
              </w:rPr>
              <w:t xml:space="preserve">, </w:t>
            </w:r>
            <w:r w:rsidR="00D5093F" w:rsidRPr="007432F3">
              <w:rPr>
                <w:rFonts w:ascii="Arial" w:hAnsi="Arial" w:cs="Arial"/>
                <w:sz w:val="20"/>
                <w:szCs w:val="20"/>
                <w:lang w:val="pt-BR"/>
              </w:rPr>
              <w:t xml:space="preserve">os quais </w:t>
            </w:r>
            <w:r w:rsidRPr="007432F3">
              <w:rPr>
                <w:rFonts w:ascii="Arial" w:hAnsi="Arial" w:cs="Arial"/>
                <w:sz w:val="20"/>
                <w:szCs w:val="20"/>
                <w:lang w:val="pt-BR"/>
              </w:rPr>
              <w:t>seus cotistas estão sujeitos, bem como à remuneração a ser paga ao</w:t>
            </w:r>
            <w:r w:rsidR="00D5093F" w:rsidRPr="007432F3">
              <w:rPr>
                <w:rFonts w:ascii="Arial" w:hAnsi="Arial" w:cs="Arial"/>
                <w:sz w:val="20"/>
                <w:szCs w:val="20"/>
                <w:lang w:val="pt-BR"/>
              </w:rPr>
              <w:t>s P</w:t>
            </w:r>
            <w:r w:rsidR="007C6C6F" w:rsidRPr="007432F3">
              <w:rPr>
                <w:rFonts w:ascii="Arial" w:hAnsi="Arial" w:cs="Arial"/>
                <w:sz w:val="20"/>
                <w:szCs w:val="20"/>
                <w:lang w:val="pt-BR"/>
              </w:rPr>
              <w:t>restadores</w:t>
            </w:r>
            <w:r w:rsidR="00D5093F" w:rsidRPr="007432F3">
              <w:rPr>
                <w:rFonts w:ascii="Arial" w:hAnsi="Arial" w:cs="Arial"/>
                <w:sz w:val="20"/>
                <w:szCs w:val="20"/>
                <w:lang w:val="pt-BR"/>
              </w:rPr>
              <w:t xml:space="preserve"> </w:t>
            </w:r>
            <w:r w:rsidR="007C6C6F" w:rsidRPr="007432F3">
              <w:rPr>
                <w:rFonts w:ascii="Arial" w:hAnsi="Arial" w:cs="Arial"/>
                <w:sz w:val="20"/>
                <w:szCs w:val="20"/>
                <w:lang w:val="pt-BR"/>
              </w:rPr>
              <w:t>de</w:t>
            </w:r>
            <w:r w:rsidR="00D5093F" w:rsidRPr="007432F3">
              <w:rPr>
                <w:rFonts w:ascii="Arial" w:hAnsi="Arial" w:cs="Arial"/>
                <w:sz w:val="20"/>
                <w:szCs w:val="20"/>
                <w:lang w:val="pt-BR"/>
              </w:rPr>
              <w:t xml:space="preserve"> S</w:t>
            </w:r>
            <w:r w:rsidR="007C6C6F" w:rsidRPr="007432F3">
              <w:rPr>
                <w:rFonts w:ascii="Arial" w:hAnsi="Arial" w:cs="Arial"/>
                <w:sz w:val="20"/>
                <w:szCs w:val="20"/>
                <w:lang w:val="pt-BR"/>
              </w:rPr>
              <w:t>erviços</w:t>
            </w:r>
            <w:r w:rsidR="00D5093F" w:rsidRPr="007432F3">
              <w:rPr>
                <w:rFonts w:ascii="Arial" w:hAnsi="Arial" w:cs="Arial"/>
                <w:sz w:val="20"/>
                <w:szCs w:val="20"/>
                <w:lang w:val="pt-BR"/>
              </w:rPr>
              <w:t xml:space="preserve"> E</w:t>
            </w:r>
            <w:r w:rsidR="007C6C6F" w:rsidRPr="007432F3">
              <w:rPr>
                <w:rFonts w:ascii="Arial" w:hAnsi="Arial" w:cs="Arial"/>
                <w:sz w:val="20"/>
                <w:szCs w:val="20"/>
                <w:lang w:val="pt-BR"/>
              </w:rPr>
              <w:t>ssenciais</w:t>
            </w:r>
            <w:r w:rsidRPr="007432F3">
              <w:rPr>
                <w:rFonts w:ascii="Arial" w:hAnsi="Arial" w:cs="Arial"/>
                <w:sz w:val="20"/>
                <w:szCs w:val="20"/>
                <w:lang w:val="pt-BR"/>
              </w:rPr>
              <w:t xml:space="preserve">; </w:t>
            </w:r>
          </w:p>
          <w:p w14:paraId="116679E4" w14:textId="77777777"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 xml:space="preserve">assinou termo de adesão </w:t>
            </w:r>
            <w:r w:rsidR="004F396E" w:rsidRPr="007432F3">
              <w:rPr>
                <w:rFonts w:ascii="Arial" w:hAnsi="Arial" w:cs="Arial"/>
                <w:sz w:val="20"/>
                <w:szCs w:val="20"/>
                <w:lang w:val="pt-BR"/>
              </w:rPr>
              <w:t xml:space="preserve">ao Regulamento do Fundo e ao Anexo da Classe, </w:t>
            </w:r>
            <w:r w:rsidRPr="007432F3">
              <w:rPr>
                <w:rFonts w:ascii="Arial" w:hAnsi="Arial" w:cs="Arial"/>
                <w:sz w:val="20"/>
                <w:szCs w:val="20"/>
                <w:lang w:val="pt-BR"/>
              </w:rPr>
              <w:t>e ciência de risco;</w:t>
            </w:r>
            <w:r w:rsidR="007432F3">
              <w:rPr>
                <w:rFonts w:ascii="Arial" w:hAnsi="Arial" w:cs="Arial"/>
                <w:sz w:val="20"/>
                <w:szCs w:val="20"/>
                <w:lang w:val="pt-BR"/>
              </w:rPr>
              <w:t xml:space="preserve"> </w:t>
            </w:r>
          </w:p>
          <w:p w14:paraId="5CD08838" w14:textId="77777777"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 xml:space="preserve">tem pleno conhecimento dos riscos relativos à sua aplicação </w:t>
            </w:r>
            <w:r w:rsidR="00D5093F" w:rsidRPr="007432F3">
              <w:rPr>
                <w:rFonts w:ascii="Arial" w:hAnsi="Arial" w:cs="Arial"/>
                <w:sz w:val="20"/>
                <w:szCs w:val="20"/>
                <w:lang w:val="pt-BR"/>
              </w:rPr>
              <w:t>na Classe</w:t>
            </w:r>
            <w:r w:rsidR="007C6C6F" w:rsidRPr="007432F3">
              <w:rPr>
                <w:rFonts w:ascii="Arial" w:hAnsi="Arial" w:cs="Arial"/>
                <w:sz w:val="20"/>
                <w:szCs w:val="20"/>
                <w:lang w:val="pt-BR"/>
              </w:rPr>
              <w:t xml:space="preserve"> Única</w:t>
            </w:r>
            <w:r w:rsidRPr="007432F3">
              <w:rPr>
                <w:rFonts w:ascii="Arial" w:hAnsi="Arial" w:cs="Arial"/>
                <w:sz w:val="20"/>
                <w:szCs w:val="20"/>
                <w:lang w:val="pt-BR"/>
              </w:rPr>
              <w:t xml:space="preserve"> e à possibilidade de ocorrência de variações no patrimônio líquido </w:t>
            </w:r>
            <w:r w:rsidR="00D5093F" w:rsidRPr="007432F3">
              <w:rPr>
                <w:rFonts w:ascii="Arial" w:hAnsi="Arial" w:cs="Arial"/>
                <w:sz w:val="20"/>
                <w:szCs w:val="20"/>
                <w:lang w:val="pt-BR"/>
              </w:rPr>
              <w:t>da Classe</w:t>
            </w:r>
            <w:r w:rsidR="007C6C6F" w:rsidRPr="007432F3">
              <w:rPr>
                <w:rFonts w:ascii="Arial" w:hAnsi="Arial" w:cs="Arial"/>
                <w:sz w:val="20"/>
                <w:szCs w:val="20"/>
                <w:lang w:val="pt-BR"/>
              </w:rPr>
              <w:t xml:space="preserve"> Única</w:t>
            </w:r>
            <w:r w:rsidRPr="007432F3">
              <w:rPr>
                <w:rFonts w:ascii="Arial" w:hAnsi="Arial" w:cs="Arial"/>
                <w:sz w:val="20"/>
                <w:szCs w:val="20"/>
                <w:lang w:val="pt-BR"/>
              </w:rPr>
              <w:t xml:space="preserve">, inclusive de perda total do capital investido; </w:t>
            </w:r>
          </w:p>
          <w:p w14:paraId="61739258" w14:textId="77777777" w:rsidR="007432F3" w:rsidRP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está ciente de que a Oferta não foi registrada na CVM;</w:t>
            </w:r>
            <w:r w:rsidRPr="007432F3">
              <w:rPr>
                <w:rFonts w:ascii="Arial" w:hAnsi="Arial" w:cs="Arial"/>
                <w:bCs/>
                <w:sz w:val="20"/>
                <w:szCs w:val="20"/>
                <w:lang w:val="pt-BR"/>
              </w:rPr>
              <w:t xml:space="preserve"> </w:t>
            </w:r>
          </w:p>
          <w:p w14:paraId="07A2B665" w14:textId="77777777" w:rsidR="007432F3" w:rsidRP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bCs/>
                <w:sz w:val="20"/>
                <w:szCs w:val="20"/>
                <w:lang w:val="pt-BR"/>
              </w:rPr>
              <w:t xml:space="preserve">está ciente de que </w:t>
            </w:r>
            <w:bookmarkStart w:id="6" w:name="_Hlk25945835"/>
            <w:r w:rsidRPr="007432F3">
              <w:rPr>
                <w:rFonts w:ascii="Arial" w:hAnsi="Arial" w:cs="Arial"/>
                <w:bCs/>
                <w:sz w:val="20"/>
                <w:szCs w:val="20"/>
                <w:lang w:val="pt-BR"/>
              </w:rPr>
              <w:t xml:space="preserve">as Cotas ofertadas estão sujeitas às restrições de negociação previstas na </w:t>
            </w:r>
            <w:bookmarkEnd w:id="6"/>
            <w:r w:rsidRPr="007432F3">
              <w:rPr>
                <w:rFonts w:ascii="Arial" w:hAnsi="Arial" w:cs="Arial"/>
                <w:bCs/>
                <w:sz w:val="20"/>
                <w:szCs w:val="20"/>
                <w:lang w:val="pt-BR"/>
              </w:rPr>
              <w:t>Resolução CVM 160</w:t>
            </w:r>
            <w:r w:rsidR="007C6C6F" w:rsidRPr="007432F3">
              <w:rPr>
                <w:rFonts w:ascii="Arial" w:hAnsi="Arial" w:cs="Arial"/>
                <w:bCs/>
                <w:sz w:val="20"/>
                <w:szCs w:val="20"/>
                <w:lang w:val="pt-BR"/>
              </w:rPr>
              <w:t xml:space="preserve"> e no Anexo Descritivo</w:t>
            </w:r>
            <w:r w:rsidRPr="007432F3">
              <w:rPr>
                <w:rFonts w:ascii="Arial" w:hAnsi="Arial" w:cs="Arial"/>
                <w:bCs/>
                <w:sz w:val="20"/>
                <w:szCs w:val="20"/>
                <w:lang w:val="pt-BR"/>
              </w:rPr>
              <w:t xml:space="preserve">; </w:t>
            </w:r>
          </w:p>
          <w:p w14:paraId="7CC852C2" w14:textId="77777777"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bCs/>
                <w:sz w:val="20"/>
                <w:szCs w:val="20"/>
                <w:lang w:val="pt-BR"/>
              </w:rPr>
              <w:t>tem pleno conhecimento da ausência de classificação de risco das cotas subscritas</w:t>
            </w:r>
            <w:r w:rsidR="00085B2A" w:rsidRPr="007432F3">
              <w:rPr>
                <w:rFonts w:ascii="Arial" w:hAnsi="Arial" w:cs="Arial"/>
                <w:bCs/>
                <w:sz w:val="20"/>
                <w:szCs w:val="20"/>
                <w:lang w:val="pt-BR"/>
              </w:rPr>
              <w:t>;</w:t>
            </w:r>
            <w:r w:rsidR="00085B2A" w:rsidRPr="007432F3">
              <w:rPr>
                <w:rFonts w:ascii="Arial" w:hAnsi="Arial" w:cs="Arial"/>
                <w:sz w:val="20"/>
                <w:szCs w:val="20"/>
                <w:lang w:val="pt-BR"/>
              </w:rPr>
              <w:t xml:space="preserve"> </w:t>
            </w:r>
          </w:p>
          <w:p w14:paraId="70FA8777" w14:textId="7D1C18C6" w:rsidR="007432F3"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lastRenderedPageBreak/>
              <w:t xml:space="preserve">os recursos que serão utilizados na integralização das cotas </w:t>
            </w:r>
            <w:r w:rsidR="00D5093F" w:rsidRPr="007432F3">
              <w:rPr>
                <w:rFonts w:ascii="Arial" w:hAnsi="Arial" w:cs="Arial"/>
                <w:sz w:val="20"/>
                <w:szCs w:val="20"/>
                <w:lang w:val="pt-BR"/>
              </w:rPr>
              <w:t>da Classe</w:t>
            </w:r>
            <w:r w:rsidR="00085B2A" w:rsidRPr="007432F3">
              <w:rPr>
                <w:rFonts w:ascii="Arial" w:hAnsi="Arial" w:cs="Arial"/>
                <w:sz w:val="20"/>
                <w:szCs w:val="20"/>
                <w:lang w:val="pt-BR"/>
              </w:rPr>
              <w:t xml:space="preserve"> Única</w:t>
            </w:r>
            <w:r w:rsidRPr="007432F3">
              <w:rPr>
                <w:rFonts w:ascii="Arial" w:hAnsi="Arial" w:cs="Arial"/>
                <w:sz w:val="20"/>
                <w:szCs w:val="20"/>
                <w:lang w:val="pt-BR"/>
              </w:rPr>
              <w:t xml:space="preserve"> não serão oriundos de quaisquer práticas que possam ser consideradas como crimes previstos na legislação relativa à política de prevenção e combate à lavagem de dinheiro; </w:t>
            </w:r>
          </w:p>
          <w:p w14:paraId="2595F5B3" w14:textId="31CFA7DB" w:rsidR="00DA6D67" w:rsidRDefault="00DA6D67" w:rsidP="007432F3">
            <w:pPr>
              <w:pStyle w:val="PargrafodaLista"/>
              <w:widowControl/>
              <w:numPr>
                <w:ilvl w:val="0"/>
                <w:numId w:val="2"/>
              </w:numPr>
              <w:spacing w:after="120" w:line="276" w:lineRule="auto"/>
              <w:rPr>
                <w:rFonts w:ascii="Arial" w:hAnsi="Arial" w:cs="Arial"/>
                <w:sz w:val="20"/>
                <w:szCs w:val="20"/>
                <w:lang w:val="pt-BR"/>
              </w:rPr>
            </w:pPr>
            <w:r w:rsidRPr="007432F3">
              <w:rPr>
                <w:rFonts w:ascii="Arial" w:hAnsi="Arial" w:cs="Arial"/>
                <w:sz w:val="20"/>
                <w:szCs w:val="20"/>
                <w:lang w:val="pt-BR"/>
              </w:rPr>
              <w:t>tem ciência de que as cotas ora subscritas não serão listadas ou registradas para negociação pública em qualquer mercado de balcão organizado ou bolsa de valores</w:t>
            </w:r>
            <w:r w:rsidR="007432F3">
              <w:rPr>
                <w:rFonts w:ascii="Arial" w:hAnsi="Arial" w:cs="Arial"/>
                <w:sz w:val="20"/>
                <w:szCs w:val="20"/>
                <w:lang w:val="pt-BR"/>
              </w:rPr>
              <w:t>;</w:t>
            </w:r>
            <w:r w:rsidRPr="007432F3">
              <w:rPr>
                <w:rFonts w:ascii="Arial" w:hAnsi="Arial" w:cs="Arial"/>
                <w:sz w:val="20"/>
                <w:szCs w:val="20"/>
                <w:lang w:val="pt-BR"/>
              </w:rPr>
              <w:t xml:space="preserve"> </w:t>
            </w:r>
          </w:p>
          <w:p w14:paraId="24522684" w14:textId="101568E2" w:rsidR="001060DA" w:rsidRPr="007432F3" w:rsidRDefault="001060DA" w:rsidP="007432F3">
            <w:pPr>
              <w:pStyle w:val="PargrafodaLista"/>
              <w:widowControl/>
              <w:numPr>
                <w:ilvl w:val="0"/>
                <w:numId w:val="2"/>
              </w:numPr>
              <w:spacing w:after="120" w:line="276" w:lineRule="auto"/>
              <w:rPr>
                <w:rFonts w:ascii="Arial" w:hAnsi="Arial" w:cs="Arial"/>
                <w:sz w:val="20"/>
                <w:szCs w:val="20"/>
                <w:lang w:val="pt-BR"/>
              </w:rPr>
            </w:pPr>
            <w:r>
              <w:rPr>
                <w:rFonts w:ascii="Arial" w:hAnsi="Arial" w:cs="Arial"/>
                <w:sz w:val="20"/>
                <w:szCs w:val="20"/>
                <w:lang w:val="pt-BR"/>
              </w:rPr>
              <w:t>tem ciência</w:t>
            </w:r>
            <w:r w:rsidR="00EC1E0D">
              <w:rPr>
                <w:rFonts w:ascii="Arial" w:hAnsi="Arial" w:cs="Arial"/>
                <w:sz w:val="20"/>
                <w:szCs w:val="20"/>
                <w:lang w:val="pt-BR"/>
              </w:rPr>
              <w:t xml:space="preserve"> de</w:t>
            </w:r>
            <w:r>
              <w:rPr>
                <w:rFonts w:ascii="Arial" w:hAnsi="Arial" w:cs="Arial"/>
                <w:sz w:val="20"/>
                <w:szCs w:val="20"/>
                <w:lang w:val="pt-BR"/>
              </w:rPr>
              <w:t xml:space="preserve"> que o </w:t>
            </w:r>
            <w:r w:rsidRPr="001060DA">
              <w:rPr>
                <w:rFonts w:ascii="Arial" w:hAnsi="Arial" w:cs="Arial"/>
                <w:sz w:val="20"/>
                <w:szCs w:val="20"/>
                <w:lang w:val="pt-BR"/>
              </w:rPr>
              <w:t>“</w:t>
            </w:r>
            <w:r w:rsidRPr="001060DA">
              <w:rPr>
                <w:rFonts w:ascii="Arial" w:hAnsi="Arial" w:cs="Arial"/>
                <w:i/>
                <w:iCs/>
                <w:sz w:val="20"/>
                <w:szCs w:val="20"/>
                <w:lang w:val="pt-BR"/>
              </w:rPr>
              <w:t xml:space="preserve">Prospecto Definitivo de Oferta Pública Primária de Cotas da 1ª (Primeira) Emissão da Classe Única de Investimento em Cotas do Western Asset High Grade </w:t>
            </w:r>
            <w:proofErr w:type="spellStart"/>
            <w:r w:rsidRPr="001060DA">
              <w:rPr>
                <w:rFonts w:ascii="Arial" w:hAnsi="Arial" w:cs="Arial"/>
                <w:i/>
                <w:iCs/>
                <w:sz w:val="20"/>
                <w:szCs w:val="20"/>
                <w:lang w:val="pt-BR"/>
              </w:rPr>
              <w:t>One</w:t>
            </w:r>
            <w:proofErr w:type="spellEnd"/>
            <w:r w:rsidRPr="001060DA">
              <w:rPr>
                <w:rFonts w:ascii="Arial" w:hAnsi="Arial" w:cs="Arial"/>
                <w:i/>
                <w:iCs/>
                <w:sz w:val="20"/>
                <w:szCs w:val="20"/>
                <w:lang w:val="pt-BR"/>
              </w:rPr>
              <w:t xml:space="preserve"> Fundo de Investimento em Cotas de Fundos de Investimento em Direitos Creditórios Responsabilidade Limitada</w:t>
            </w:r>
            <w:r w:rsidRPr="001060DA">
              <w:rPr>
                <w:rFonts w:ascii="Arial" w:hAnsi="Arial" w:cs="Arial"/>
                <w:sz w:val="20"/>
                <w:szCs w:val="20"/>
                <w:lang w:val="pt-BR"/>
              </w:rPr>
              <w:t>”</w:t>
            </w:r>
            <w:r>
              <w:rPr>
                <w:rFonts w:ascii="Arial" w:hAnsi="Arial" w:cs="Arial"/>
                <w:sz w:val="20"/>
                <w:szCs w:val="20"/>
                <w:lang w:val="pt-BR"/>
              </w:rPr>
              <w:t xml:space="preserve"> (“</w:t>
            </w:r>
            <w:r w:rsidRPr="00DF7454">
              <w:rPr>
                <w:rFonts w:ascii="Arial" w:hAnsi="Arial" w:cs="Arial"/>
                <w:b/>
                <w:bCs/>
                <w:sz w:val="20"/>
                <w:szCs w:val="20"/>
                <w:lang w:val="pt-BR"/>
              </w:rPr>
              <w:t>Prospecto</w:t>
            </w:r>
            <w:r>
              <w:rPr>
                <w:rFonts w:ascii="Arial" w:hAnsi="Arial" w:cs="Arial"/>
                <w:sz w:val="20"/>
                <w:szCs w:val="20"/>
                <w:lang w:val="pt-BR"/>
              </w:rPr>
              <w:t>”)</w:t>
            </w:r>
            <w:r w:rsidRPr="001060DA">
              <w:rPr>
                <w:rFonts w:ascii="Arial" w:hAnsi="Arial" w:cs="Arial"/>
                <w:sz w:val="20"/>
                <w:szCs w:val="20"/>
                <w:lang w:val="pt-BR"/>
              </w:rPr>
              <w:t xml:space="preserve"> </w:t>
            </w:r>
            <w:r>
              <w:rPr>
                <w:rFonts w:ascii="Arial" w:hAnsi="Arial" w:cs="Arial"/>
                <w:sz w:val="20"/>
                <w:szCs w:val="20"/>
                <w:lang w:val="pt-BR"/>
              </w:rPr>
              <w:t xml:space="preserve">originalmente divulgado em 17 de junho de 2024, foi republicado no dia </w:t>
            </w:r>
            <w:r w:rsidR="003C333B">
              <w:rPr>
                <w:rFonts w:ascii="Arial" w:hAnsi="Arial" w:cs="Arial"/>
                <w:sz w:val="20"/>
                <w:szCs w:val="20"/>
                <w:lang w:val="pt-BR"/>
              </w:rPr>
              <w:t>22</w:t>
            </w:r>
            <w:r>
              <w:rPr>
                <w:rFonts w:ascii="Arial" w:hAnsi="Arial" w:cs="Arial"/>
                <w:sz w:val="20"/>
                <w:szCs w:val="20"/>
                <w:lang w:val="pt-BR"/>
              </w:rPr>
              <w:t xml:space="preserve"> de </w:t>
            </w:r>
            <w:r w:rsidR="00D64CF6">
              <w:rPr>
                <w:rFonts w:ascii="Arial" w:hAnsi="Arial" w:cs="Arial"/>
                <w:sz w:val="20"/>
                <w:szCs w:val="20"/>
                <w:lang w:val="pt-BR"/>
              </w:rPr>
              <w:t>julho</w:t>
            </w:r>
            <w:r>
              <w:rPr>
                <w:rFonts w:ascii="Arial" w:hAnsi="Arial" w:cs="Arial"/>
                <w:sz w:val="20"/>
                <w:szCs w:val="20"/>
                <w:lang w:val="pt-BR"/>
              </w:rPr>
              <w:t xml:space="preserve"> de 2024</w:t>
            </w:r>
            <w:r w:rsidR="00796FEC">
              <w:rPr>
                <w:rFonts w:ascii="Arial" w:hAnsi="Arial" w:cs="Arial"/>
                <w:sz w:val="20"/>
                <w:szCs w:val="20"/>
                <w:lang w:val="pt-BR"/>
              </w:rPr>
              <w:t xml:space="preserve"> e no dia 06 de setembro de 2024</w:t>
            </w:r>
            <w:r w:rsidR="00055C66">
              <w:rPr>
                <w:rFonts w:ascii="Arial" w:hAnsi="Arial" w:cs="Arial"/>
                <w:sz w:val="20"/>
                <w:szCs w:val="20"/>
                <w:lang w:val="pt-BR"/>
              </w:rPr>
              <w:t>;</w:t>
            </w:r>
            <w:r>
              <w:rPr>
                <w:rFonts w:ascii="Arial" w:hAnsi="Arial" w:cs="Arial"/>
                <w:sz w:val="20"/>
                <w:szCs w:val="20"/>
                <w:lang w:val="pt-BR"/>
              </w:rPr>
              <w:t xml:space="preserve"> </w:t>
            </w:r>
          </w:p>
          <w:p w14:paraId="675E379C" w14:textId="29F66BC2" w:rsidR="00DA6D67" w:rsidRDefault="00DA6D67" w:rsidP="007432F3">
            <w:pPr>
              <w:pStyle w:val="PargrafodaLista"/>
              <w:widowControl/>
              <w:numPr>
                <w:ilvl w:val="0"/>
                <w:numId w:val="2"/>
              </w:numPr>
              <w:spacing w:after="120" w:line="276" w:lineRule="auto"/>
              <w:rPr>
                <w:rFonts w:ascii="Arial" w:hAnsi="Arial" w:cs="Arial"/>
                <w:sz w:val="20"/>
                <w:szCs w:val="20"/>
                <w:lang w:val="pt-BR"/>
              </w:rPr>
            </w:pPr>
            <w:r w:rsidRPr="00DA6D67">
              <w:rPr>
                <w:rFonts w:ascii="Arial" w:hAnsi="Arial" w:cs="Arial"/>
                <w:sz w:val="20"/>
                <w:szCs w:val="20"/>
                <w:lang w:val="pt-BR"/>
              </w:rPr>
              <w:t xml:space="preserve">DECLARA estar ciente de que a distribuição das cotas </w:t>
            </w:r>
            <w:r w:rsidR="00D5093F">
              <w:rPr>
                <w:rFonts w:ascii="Arial" w:hAnsi="Arial" w:cs="Arial"/>
                <w:sz w:val="20"/>
                <w:szCs w:val="20"/>
                <w:lang w:val="pt-BR"/>
              </w:rPr>
              <w:t>da Classe</w:t>
            </w:r>
            <w:r w:rsidR="006D1A8B">
              <w:rPr>
                <w:rFonts w:ascii="Arial" w:hAnsi="Arial" w:cs="Arial"/>
                <w:sz w:val="20"/>
                <w:szCs w:val="20"/>
                <w:lang w:val="pt-BR"/>
              </w:rPr>
              <w:t xml:space="preserve"> Única</w:t>
            </w:r>
            <w:r w:rsidRPr="00DA6D67">
              <w:rPr>
                <w:rFonts w:ascii="Arial" w:hAnsi="Arial" w:cs="Arial"/>
                <w:sz w:val="20"/>
                <w:szCs w:val="20"/>
                <w:lang w:val="pt-BR"/>
              </w:rPr>
              <w:t xml:space="preserve"> está sujeita aos procedimentos previstos na Resolução </w:t>
            </w:r>
            <w:r>
              <w:rPr>
                <w:rFonts w:ascii="Arial" w:hAnsi="Arial" w:cs="Arial"/>
                <w:sz w:val="20"/>
                <w:szCs w:val="20"/>
                <w:lang w:val="pt-BR"/>
              </w:rPr>
              <w:t xml:space="preserve">CVM </w:t>
            </w:r>
            <w:r w:rsidRPr="00DA6D67">
              <w:rPr>
                <w:rFonts w:ascii="Arial" w:hAnsi="Arial" w:cs="Arial"/>
                <w:sz w:val="20"/>
                <w:szCs w:val="20"/>
                <w:lang w:val="pt-BR"/>
              </w:rPr>
              <w:t>160, inclusive quanto a obrigatoriedade do registro na CVM, de modo que</w:t>
            </w:r>
            <w:r w:rsidR="00030855">
              <w:rPr>
                <w:rFonts w:ascii="Arial" w:hAnsi="Arial" w:cs="Arial"/>
                <w:sz w:val="20"/>
                <w:szCs w:val="20"/>
                <w:lang w:val="pt-BR"/>
              </w:rPr>
              <w:t xml:space="preserve"> </w:t>
            </w:r>
            <w:r w:rsidRPr="00DA6D67">
              <w:rPr>
                <w:rFonts w:ascii="Arial" w:hAnsi="Arial" w:cs="Arial"/>
                <w:sz w:val="20"/>
                <w:szCs w:val="20"/>
                <w:lang w:val="pt-BR"/>
              </w:rPr>
              <w:t xml:space="preserve">a oferta das cotas </w:t>
            </w:r>
            <w:r w:rsidR="00D5093F">
              <w:rPr>
                <w:rFonts w:ascii="Arial" w:hAnsi="Arial" w:cs="Arial"/>
                <w:sz w:val="20"/>
                <w:szCs w:val="20"/>
                <w:lang w:val="pt-BR"/>
              </w:rPr>
              <w:t>da Classe</w:t>
            </w:r>
            <w:r w:rsidR="006D1A8B">
              <w:rPr>
                <w:rFonts w:ascii="Arial" w:hAnsi="Arial" w:cs="Arial"/>
                <w:sz w:val="20"/>
                <w:szCs w:val="20"/>
                <w:lang w:val="pt-BR"/>
              </w:rPr>
              <w:t xml:space="preserve"> Única</w:t>
            </w:r>
            <w:r w:rsidRPr="00DA6D67">
              <w:rPr>
                <w:rFonts w:ascii="Arial" w:hAnsi="Arial" w:cs="Arial"/>
                <w:sz w:val="20"/>
                <w:szCs w:val="20"/>
                <w:lang w:val="pt-BR"/>
              </w:rPr>
              <w:t xml:space="preserve"> foi registrada na Comissão de Valores Mobiliários – CVM</w:t>
            </w:r>
            <w:r w:rsidR="007432F3">
              <w:rPr>
                <w:rFonts w:ascii="Arial" w:hAnsi="Arial" w:cs="Arial"/>
                <w:sz w:val="20"/>
                <w:szCs w:val="20"/>
                <w:lang w:val="pt-BR"/>
              </w:rPr>
              <w:t>; e</w:t>
            </w:r>
          </w:p>
          <w:p w14:paraId="3E56C01D" w14:textId="2114F35A" w:rsidR="007432F3" w:rsidRDefault="007B75A2" w:rsidP="007432F3">
            <w:pPr>
              <w:pStyle w:val="PargrafodaLista"/>
              <w:widowControl/>
              <w:numPr>
                <w:ilvl w:val="0"/>
                <w:numId w:val="2"/>
              </w:numPr>
              <w:spacing w:after="120" w:line="276" w:lineRule="auto"/>
              <w:rPr>
                <w:rFonts w:ascii="Arial" w:hAnsi="Arial" w:cs="Arial"/>
                <w:sz w:val="20"/>
                <w:szCs w:val="20"/>
                <w:lang w:val="pt-BR"/>
              </w:rPr>
            </w:pPr>
            <w:r>
              <w:rPr>
                <w:rFonts w:ascii="Arial" w:hAnsi="Arial" w:cs="Arial"/>
                <w:sz w:val="20"/>
                <w:szCs w:val="20"/>
                <w:lang w:val="pt-BR"/>
              </w:rPr>
              <w:t>Adicionalmente, declara</w:t>
            </w:r>
            <w:r w:rsidR="007432F3">
              <w:rPr>
                <w:rFonts w:ascii="Arial" w:hAnsi="Arial" w:cs="Arial"/>
                <w:sz w:val="20"/>
                <w:szCs w:val="20"/>
                <w:lang w:val="pt-BR"/>
              </w:rPr>
              <w:t>:</w:t>
            </w:r>
            <w:r>
              <w:rPr>
                <w:rFonts w:ascii="Arial" w:hAnsi="Arial" w:cs="Arial"/>
                <w:sz w:val="20"/>
                <w:szCs w:val="20"/>
                <w:lang w:val="pt-BR"/>
              </w:rPr>
              <w:t xml:space="preserve"> </w:t>
            </w:r>
          </w:p>
          <w:p w14:paraId="49ED1ADE" w14:textId="70A33C69" w:rsidR="007B75A2" w:rsidRDefault="007432F3" w:rsidP="007432F3">
            <w:pPr>
              <w:pStyle w:val="PargrafodaLista"/>
              <w:widowControl/>
              <w:spacing w:after="120" w:line="276" w:lineRule="auto"/>
              <w:ind w:left="1080"/>
              <w:rPr>
                <w:rFonts w:ascii="Arial" w:hAnsi="Arial" w:cs="Arial"/>
                <w:sz w:val="20"/>
                <w:szCs w:val="20"/>
                <w:lang w:val="pt-BR"/>
              </w:rPr>
            </w:pPr>
            <w:proofErr w:type="gramStart"/>
            <w:r>
              <w:rPr>
                <w:rFonts w:ascii="Arial" w:hAnsi="Arial" w:cs="Arial"/>
                <w:sz w:val="20"/>
                <w:szCs w:val="20"/>
                <w:lang w:val="pt-BR"/>
              </w:rPr>
              <w:t>[  ]</w:t>
            </w:r>
            <w:proofErr w:type="gramEnd"/>
            <w:r>
              <w:rPr>
                <w:rFonts w:ascii="Arial" w:hAnsi="Arial" w:cs="Arial"/>
                <w:sz w:val="20"/>
                <w:szCs w:val="20"/>
                <w:lang w:val="pt-BR"/>
              </w:rPr>
              <w:t xml:space="preserve"> </w:t>
            </w:r>
            <w:r w:rsidR="007B75A2">
              <w:rPr>
                <w:rFonts w:ascii="Arial" w:hAnsi="Arial" w:cs="Arial"/>
                <w:sz w:val="20"/>
                <w:szCs w:val="20"/>
                <w:lang w:val="pt-BR"/>
              </w:rPr>
              <w:t>estar enquadrado na condição de Pessoa Vinculada</w:t>
            </w:r>
            <w:r>
              <w:rPr>
                <w:rFonts w:ascii="Arial" w:hAnsi="Arial" w:cs="Arial"/>
                <w:sz w:val="20"/>
                <w:szCs w:val="20"/>
                <w:lang w:val="pt-BR"/>
              </w:rPr>
              <w:t xml:space="preserve">; ou </w:t>
            </w:r>
          </w:p>
          <w:p w14:paraId="5265D2BA" w14:textId="3E49FBC0" w:rsidR="007432F3" w:rsidRDefault="007432F3" w:rsidP="007432F3">
            <w:pPr>
              <w:pStyle w:val="PargrafodaLista"/>
              <w:widowControl/>
              <w:spacing w:after="120" w:line="276" w:lineRule="auto"/>
              <w:ind w:left="1080"/>
              <w:rPr>
                <w:rFonts w:ascii="Arial" w:hAnsi="Arial" w:cs="Arial"/>
                <w:sz w:val="20"/>
                <w:szCs w:val="20"/>
                <w:lang w:val="pt-BR"/>
              </w:rPr>
            </w:pPr>
            <w:proofErr w:type="gramStart"/>
            <w:r>
              <w:rPr>
                <w:rFonts w:ascii="Arial" w:hAnsi="Arial" w:cs="Arial"/>
                <w:sz w:val="20"/>
                <w:szCs w:val="20"/>
                <w:lang w:val="pt-BR"/>
              </w:rPr>
              <w:t>[  ]</w:t>
            </w:r>
            <w:proofErr w:type="gramEnd"/>
            <w:r>
              <w:rPr>
                <w:rFonts w:ascii="Arial" w:hAnsi="Arial" w:cs="Arial"/>
                <w:sz w:val="20"/>
                <w:szCs w:val="20"/>
                <w:lang w:val="pt-BR"/>
              </w:rPr>
              <w:t xml:space="preserve"> não estar enquadrado </w:t>
            </w:r>
            <w:r w:rsidRPr="007432F3">
              <w:rPr>
                <w:rFonts w:ascii="Arial" w:hAnsi="Arial" w:cs="Arial"/>
                <w:sz w:val="20"/>
                <w:szCs w:val="20"/>
                <w:lang w:val="pt-BR"/>
              </w:rPr>
              <w:t>na condição de Pessoa Vinculada</w:t>
            </w:r>
            <w:r>
              <w:rPr>
                <w:rFonts w:ascii="Arial" w:hAnsi="Arial" w:cs="Arial"/>
                <w:sz w:val="20"/>
                <w:szCs w:val="20"/>
                <w:lang w:val="pt-BR"/>
              </w:rPr>
              <w:t xml:space="preserve">. </w:t>
            </w:r>
          </w:p>
          <w:p w14:paraId="4DEC08F4" w14:textId="35AA6714" w:rsidR="007B75A2" w:rsidRPr="009147A8" w:rsidRDefault="00D813D5" w:rsidP="00107840">
            <w:pPr>
              <w:widowControl/>
              <w:spacing w:after="120" w:line="276" w:lineRule="auto"/>
              <w:rPr>
                <w:rFonts w:ascii="Arial" w:hAnsi="Arial" w:cs="Arial"/>
                <w:sz w:val="20"/>
                <w:szCs w:val="20"/>
                <w:lang w:val="pt-BR"/>
              </w:rPr>
            </w:pPr>
            <w:r w:rsidRPr="00107840">
              <w:rPr>
                <w:rFonts w:ascii="Arial" w:hAnsi="Arial" w:cs="Arial"/>
                <w:sz w:val="20"/>
                <w:szCs w:val="20"/>
                <w:lang w:val="pt-BR"/>
              </w:rPr>
              <w:t>Para os fins da Oferta serão considerados “</w:t>
            </w:r>
            <w:r w:rsidRPr="00107840">
              <w:rPr>
                <w:rFonts w:ascii="Arial" w:hAnsi="Arial" w:cs="Arial"/>
                <w:sz w:val="20"/>
                <w:szCs w:val="20"/>
                <w:u w:val="single"/>
                <w:lang w:val="pt-BR"/>
              </w:rPr>
              <w:t>Pessoas Vinculadas</w:t>
            </w:r>
            <w:r w:rsidRPr="00107840">
              <w:rPr>
                <w:rFonts w:ascii="Arial" w:hAnsi="Arial" w:cs="Arial"/>
                <w:sz w:val="20"/>
                <w:szCs w:val="20"/>
                <w:lang w:val="pt-BR"/>
              </w:rPr>
              <w:t>” os Investidores que sejam, nos termos do artigo 2º, inciso XVI, da Resolução CVM 160 e do artigo 2º, inciso XII, da Resolução CVM nº 35, de 26 de maio de 2021, conforme alterada (“</w:t>
            </w:r>
            <w:r w:rsidRPr="00107840">
              <w:rPr>
                <w:rFonts w:ascii="Arial" w:hAnsi="Arial" w:cs="Arial"/>
                <w:sz w:val="20"/>
                <w:szCs w:val="20"/>
                <w:u w:val="single"/>
                <w:lang w:val="pt-BR"/>
              </w:rPr>
              <w:t>Resolução CVM 35</w:t>
            </w:r>
            <w:r w:rsidRPr="00107840">
              <w:rPr>
                <w:rFonts w:ascii="Arial" w:hAnsi="Arial" w:cs="Arial"/>
                <w:sz w:val="20"/>
                <w:szCs w:val="20"/>
                <w:lang w:val="pt-BR"/>
              </w:rPr>
              <w:t xml:space="preserve">”): </w:t>
            </w:r>
            <w:r w:rsidRPr="00107840">
              <w:rPr>
                <w:rFonts w:ascii="Arial" w:hAnsi="Arial" w:cs="Arial"/>
                <w:b/>
                <w:bCs/>
                <w:sz w:val="20"/>
                <w:szCs w:val="20"/>
                <w:lang w:val="pt-BR"/>
              </w:rPr>
              <w:t>(a)</w:t>
            </w:r>
            <w:r w:rsidRPr="00107840">
              <w:rPr>
                <w:rFonts w:ascii="Arial" w:hAnsi="Arial" w:cs="Arial"/>
                <w:sz w:val="20"/>
                <w:szCs w:val="20"/>
                <w:lang w:val="pt-BR"/>
              </w:rPr>
              <w:t xml:space="preserve"> controladores, diretos ou indiretos, ou administradores, do Fundo, da Classe Única, do Administrador, do Gestor e/ou outras pessoas vinculadas à Oferta, bem como seus respectivos cônjuges ou companheiros, seus ascendentes, descendentes e colaterais até o 2º (segundo) grau; </w:t>
            </w:r>
            <w:r w:rsidRPr="00107840">
              <w:rPr>
                <w:rFonts w:ascii="Arial" w:hAnsi="Arial" w:cs="Arial"/>
                <w:b/>
                <w:bCs/>
                <w:sz w:val="20"/>
                <w:szCs w:val="20"/>
                <w:lang w:val="pt-BR"/>
              </w:rPr>
              <w:t>(b)</w:t>
            </w:r>
            <w:r w:rsidRPr="00107840">
              <w:rPr>
                <w:rFonts w:ascii="Arial" w:hAnsi="Arial" w:cs="Arial"/>
                <w:sz w:val="20"/>
                <w:szCs w:val="20"/>
                <w:lang w:val="pt-BR"/>
              </w:rPr>
              <w:t xml:space="preserve"> controladores, diretos ou indiretos, e/ou administradores das Instituições Participantes da Oferta; </w:t>
            </w:r>
            <w:r w:rsidRPr="00107840">
              <w:rPr>
                <w:rFonts w:ascii="Arial" w:hAnsi="Arial" w:cs="Arial"/>
                <w:b/>
                <w:bCs/>
                <w:sz w:val="20"/>
                <w:szCs w:val="20"/>
                <w:lang w:val="pt-BR"/>
              </w:rPr>
              <w:t>(c)</w:t>
            </w:r>
            <w:r w:rsidRPr="00107840">
              <w:rPr>
                <w:rFonts w:ascii="Arial" w:hAnsi="Arial" w:cs="Arial"/>
                <w:sz w:val="20"/>
                <w:szCs w:val="20"/>
                <w:lang w:val="pt-BR"/>
              </w:rPr>
              <w:t xml:space="preserve"> funcionários, operadores e demais prepostos doas Instituições Participantes da Oferta, do Administrador e do Gestor, diretamente envolvidos na estruturação da Oferta; </w:t>
            </w:r>
            <w:r w:rsidRPr="00107840">
              <w:rPr>
                <w:rFonts w:ascii="Arial" w:hAnsi="Arial" w:cs="Arial"/>
                <w:b/>
                <w:bCs/>
                <w:sz w:val="20"/>
                <w:szCs w:val="20"/>
                <w:lang w:val="pt-BR"/>
              </w:rPr>
              <w:t>(d)</w:t>
            </w:r>
            <w:r w:rsidRPr="00107840">
              <w:rPr>
                <w:rFonts w:ascii="Arial" w:hAnsi="Arial" w:cs="Arial"/>
                <w:sz w:val="20"/>
                <w:szCs w:val="20"/>
                <w:lang w:val="pt-BR"/>
              </w:rPr>
              <w:t xml:space="preserve"> assessores de investimento que prestem serviços às Instituições Participantes da Oferta; </w:t>
            </w:r>
            <w:r w:rsidRPr="00107840">
              <w:rPr>
                <w:rFonts w:ascii="Arial" w:hAnsi="Arial" w:cs="Arial"/>
                <w:b/>
                <w:bCs/>
                <w:sz w:val="20"/>
                <w:szCs w:val="20"/>
                <w:lang w:val="pt-BR"/>
              </w:rPr>
              <w:t>(e)</w:t>
            </w:r>
            <w:r w:rsidRPr="00107840">
              <w:rPr>
                <w:rFonts w:ascii="Arial" w:hAnsi="Arial" w:cs="Arial"/>
                <w:sz w:val="20"/>
                <w:szCs w:val="20"/>
                <w:lang w:val="pt-BR"/>
              </w:rPr>
              <w:t xml:space="preserve"> demais profissionais que mantenham, com as Instituições Participantes da Oferta, contrato de prestação de serviços diretamente relacionados à atividade de intermediação ou de suporte operacional no âmbito da Oferta; </w:t>
            </w:r>
            <w:r w:rsidRPr="00107840">
              <w:rPr>
                <w:rFonts w:ascii="Arial" w:hAnsi="Arial" w:cs="Arial"/>
                <w:b/>
                <w:bCs/>
                <w:sz w:val="20"/>
                <w:szCs w:val="20"/>
                <w:lang w:val="pt-BR"/>
              </w:rPr>
              <w:t>(f)</w:t>
            </w:r>
            <w:r w:rsidRPr="00107840">
              <w:rPr>
                <w:rFonts w:ascii="Arial" w:hAnsi="Arial" w:cs="Arial"/>
                <w:sz w:val="20"/>
                <w:szCs w:val="20"/>
                <w:lang w:val="pt-BR"/>
              </w:rPr>
              <w:t xml:space="preserve"> sociedades controladas, direta ou indiretamente, pelas Instituições Participantes da Oferta, pelo Administrador e pelo Gestor, ou por pessoas a eles vinculadas; </w:t>
            </w:r>
            <w:r w:rsidRPr="00107840">
              <w:rPr>
                <w:rFonts w:ascii="Arial" w:hAnsi="Arial" w:cs="Arial"/>
                <w:b/>
                <w:bCs/>
                <w:sz w:val="20"/>
                <w:szCs w:val="20"/>
                <w:lang w:val="pt-BR"/>
              </w:rPr>
              <w:t>(g)</w:t>
            </w:r>
            <w:r w:rsidRPr="00107840">
              <w:rPr>
                <w:rFonts w:ascii="Arial" w:hAnsi="Arial" w:cs="Arial"/>
                <w:sz w:val="20"/>
                <w:szCs w:val="20"/>
                <w:lang w:val="pt-BR"/>
              </w:rPr>
              <w:t xml:space="preserve"> cônjuge ou companheiro e filhos menores das pessoas mencionadas nos incisos “(c)” a “(f)” acima; e </w:t>
            </w:r>
            <w:r w:rsidRPr="00107840">
              <w:rPr>
                <w:rFonts w:ascii="Arial" w:hAnsi="Arial" w:cs="Arial"/>
                <w:b/>
                <w:bCs/>
                <w:sz w:val="20"/>
                <w:szCs w:val="20"/>
                <w:lang w:val="pt-BR"/>
              </w:rPr>
              <w:t>(h)</w:t>
            </w:r>
            <w:r w:rsidRPr="00107840">
              <w:rPr>
                <w:rFonts w:ascii="Arial" w:hAnsi="Arial" w:cs="Arial"/>
                <w:sz w:val="20"/>
                <w:szCs w:val="20"/>
                <w:lang w:val="pt-BR"/>
              </w:rPr>
              <w:t> fundos de investimento cuja maioria das cotas pertença a pessoas mencionadas nos incisos acima, salvo se geridos discricionariamente por terceiros não vinculados, nos termos do artigo 2º da Resolução CVM 35</w:t>
            </w:r>
            <w:r w:rsidR="00BC50C6">
              <w:rPr>
                <w:rFonts w:ascii="Arial" w:hAnsi="Arial" w:cs="Arial"/>
                <w:sz w:val="20"/>
                <w:szCs w:val="20"/>
                <w:lang w:val="pt-BR"/>
              </w:rPr>
              <w:t xml:space="preserve">. </w:t>
            </w:r>
          </w:p>
        </w:tc>
      </w:tr>
    </w:tbl>
    <w:p w14:paraId="3A8A6489" w14:textId="77777777" w:rsidR="00DA6D67" w:rsidRDefault="00DA6D67" w:rsidP="00DA6D67">
      <w:pPr>
        <w:widowControl/>
        <w:spacing w:after="120" w:line="240" w:lineRule="auto"/>
        <w:rPr>
          <w:rFonts w:ascii="Arial" w:hAnsi="Arial" w:cs="Arial"/>
          <w:sz w:val="20"/>
          <w:szCs w:val="20"/>
          <w:lang w:val="pt-BR"/>
        </w:rPr>
      </w:pPr>
    </w:p>
    <w:p w14:paraId="5D114EA5" w14:textId="4BEE3AA9" w:rsidR="007432F3" w:rsidRDefault="007432F3">
      <w:pPr>
        <w:widowControl/>
        <w:adjustRightInd/>
        <w:spacing w:after="160" w:line="259" w:lineRule="auto"/>
        <w:jc w:val="left"/>
        <w:textAlignment w:val="auto"/>
        <w:rPr>
          <w:rFonts w:ascii="Arial" w:hAnsi="Arial" w:cs="Arial"/>
          <w:sz w:val="20"/>
          <w:szCs w:val="20"/>
          <w:lang w:val="pt-BR"/>
        </w:rPr>
      </w:pPr>
      <w:r>
        <w:rPr>
          <w:rFonts w:ascii="Arial" w:hAnsi="Arial" w:cs="Arial"/>
          <w:sz w:val="20"/>
          <w:szCs w:val="20"/>
          <w:lang w:val="pt-BR"/>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25"/>
        <w:gridCol w:w="1550"/>
        <w:gridCol w:w="1563"/>
        <w:gridCol w:w="3112"/>
      </w:tblGrid>
      <w:tr w:rsidR="00DA6D67" w:rsidRPr="009147A8" w14:paraId="342CA494" w14:textId="77777777" w:rsidTr="0013743D">
        <w:trPr>
          <w:trHeight w:val="2315"/>
        </w:trPr>
        <w:tc>
          <w:tcPr>
            <w:tcW w:w="2500" w:type="pct"/>
            <w:gridSpan w:val="2"/>
            <w:tcBorders>
              <w:top w:val="single" w:sz="4" w:space="0" w:color="auto"/>
              <w:left w:val="single" w:sz="4" w:space="0" w:color="auto"/>
              <w:bottom w:val="nil"/>
            </w:tcBorders>
          </w:tcPr>
          <w:p w14:paraId="6A3FBB9A"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lastRenderedPageBreak/>
              <w:t xml:space="preserve">O </w:t>
            </w:r>
            <w:r>
              <w:rPr>
                <w:rFonts w:ascii="Arial" w:hAnsi="Arial" w:cs="Arial"/>
                <w:sz w:val="20"/>
                <w:szCs w:val="20"/>
                <w:lang w:val="pt-BR"/>
              </w:rPr>
              <w:t>ADMINISTRADOR</w:t>
            </w:r>
            <w:r w:rsidRPr="009147A8">
              <w:rPr>
                <w:rFonts w:ascii="Arial" w:hAnsi="Arial" w:cs="Arial"/>
                <w:sz w:val="20"/>
                <w:szCs w:val="20"/>
                <w:lang w:val="pt-BR"/>
              </w:rPr>
              <w:t xml:space="preserve"> e o Distribuidor declaram ter recebido 3 (três) vias deste Boletim de Subscrição de Cotas do Subscritor ou de seu representante legal.</w:t>
            </w:r>
          </w:p>
          <w:p w14:paraId="2A0CE900" w14:textId="77777777" w:rsidR="00DA6D67" w:rsidRPr="009147A8" w:rsidRDefault="00DA6D67" w:rsidP="00F10451">
            <w:pPr>
              <w:widowControl/>
              <w:spacing w:after="120" w:line="240" w:lineRule="auto"/>
              <w:rPr>
                <w:rFonts w:ascii="Arial" w:hAnsi="Arial" w:cs="Arial"/>
                <w:sz w:val="20"/>
                <w:szCs w:val="20"/>
              </w:rPr>
            </w:pPr>
            <w:r w:rsidRPr="009147A8">
              <w:rPr>
                <w:rFonts w:ascii="Arial" w:hAnsi="Arial" w:cs="Arial"/>
                <w:b/>
                <w:sz w:val="20"/>
                <w:szCs w:val="20"/>
                <w:lang w:val="pt-BR"/>
              </w:rPr>
              <w:t>Rio de Janeiro</w:t>
            </w:r>
            <w:r w:rsidRPr="009147A8">
              <w:rPr>
                <w:rFonts w:ascii="Arial" w:hAnsi="Arial" w:cs="Arial"/>
                <w:sz w:val="20"/>
                <w:szCs w:val="20"/>
                <w:lang w:val="pt-BR"/>
              </w:rPr>
              <w:t xml:space="preserve">, </w:t>
            </w:r>
            <w:r w:rsidRPr="009147A8">
              <w:rPr>
                <w:rFonts w:ascii="Arial" w:hAnsi="Arial" w:cs="Arial"/>
                <w:b/>
                <w:bCs/>
                <w:sz w:val="20"/>
                <w:szCs w:val="20"/>
                <w:lang w:val="pt-BR"/>
              </w:rPr>
              <w:t>[</w:t>
            </w:r>
            <w:r w:rsidRPr="009147A8">
              <w:rPr>
                <w:rFonts w:ascii="Arial" w:hAnsi="Arial" w:cs="Arial"/>
                <w:b/>
                <w:sz w:val="20"/>
                <w:szCs w:val="20"/>
                <w:lang w:val="pt-BR"/>
              </w:rPr>
              <w:t>data</w:t>
            </w:r>
            <w:r w:rsidRPr="009147A8">
              <w:rPr>
                <w:rFonts w:ascii="Arial" w:hAnsi="Arial" w:cs="Arial"/>
                <w:b/>
                <w:bCs/>
                <w:sz w:val="20"/>
                <w:szCs w:val="20"/>
                <w:lang w:val="pt-BR"/>
              </w:rPr>
              <w:t>]</w:t>
            </w:r>
          </w:p>
        </w:tc>
        <w:tc>
          <w:tcPr>
            <w:tcW w:w="2500" w:type="pct"/>
            <w:gridSpan w:val="2"/>
            <w:tcBorders>
              <w:top w:val="single" w:sz="4" w:space="0" w:color="auto"/>
              <w:bottom w:val="nil"/>
              <w:right w:val="single" w:sz="4" w:space="0" w:color="auto"/>
            </w:tcBorders>
          </w:tcPr>
          <w:p w14:paraId="4C53679C"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t>O Subscritor declara que está de acordo com as condições expressas neste Boletim de Subscrição de Cotas.</w:t>
            </w:r>
          </w:p>
          <w:p w14:paraId="36BAB7DF"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sz w:val="20"/>
                <w:szCs w:val="20"/>
                <w:lang w:val="pt-BR"/>
              </w:rPr>
              <w:br/>
            </w:r>
            <w:r w:rsidRPr="009147A8">
              <w:rPr>
                <w:rFonts w:ascii="Arial" w:hAnsi="Arial" w:cs="Arial"/>
                <w:b/>
                <w:sz w:val="20"/>
                <w:szCs w:val="20"/>
                <w:lang w:val="pt-BR"/>
              </w:rPr>
              <w:t>Rio de Janeiro</w:t>
            </w:r>
            <w:r w:rsidRPr="009147A8">
              <w:rPr>
                <w:rFonts w:ascii="Arial" w:hAnsi="Arial" w:cs="Arial"/>
                <w:sz w:val="20"/>
                <w:szCs w:val="20"/>
                <w:lang w:val="pt-BR"/>
              </w:rPr>
              <w:t xml:space="preserve">, </w:t>
            </w:r>
            <w:r w:rsidRPr="009147A8">
              <w:rPr>
                <w:rFonts w:ascii="Arial" w:hAnsi="Arial" w:cs="Arial"/>
                <w:b/>
                <w:bCs/>
                <w:sz w:val="20"/>
                <w:szCs w:val="20"/>
                <w:lang w:val="pt-BR"/>
              </w:rPr>
              <w:t>[</w:t>
            </w:r>
            <w:r w:rsidRPr="009147A8">
              <w:rPr>
                <w:rFonts w:ascii="Arial" w:hAnsi="Arial" w:cs="Arial"/>
                <w:b/>
                <w:sz w:val="20"/>
                <w:szCs w:val="20"/>
                <w:lang w:val="pt-BR"/>
              </w:rPr>
              <w:t>data</w:t>
            </w:r>
            <w:r w:rsidRPr="009147A8">
              <w:rPr>
                <w:rFonts w:ascii="Arial" w:hAnsi="Arial" w:cs="Arial"/>
                <w:b/>
                <w:bCs/>
                <w:sz w:val="20"/>
                <w:szCs w:val="20"/>
                <w:lang w:val="pt-BR"/>
              </w:rPr>
              <w:t>]</w:t>
            </w:r>
          </w:p>
        </w:tc>
      </w:tr>
      <w:tr w:rsidR="00DA6D67" w:rsidRPr="009147A8" w14:paraId="791B410C" w14:textId="77777777" w:rsidTr="0013743D">
        <w:trPr>
          <w:trHeight w:val="2315"/>
        </w:trPr>
        <w:tc>
          <w:tcPr>
            <w:tcW w:w="2500" w:type="pct"/>
            <w:gridSpan w:val="2"/>
            <w:tcBorders>
              <w:top w:val="nil"/>
              <w:left w:val="single" w:sz="4" w:space="0" w:color="auto"/>
              <w:bottom w:val="nil"/>
            </w:tcBorders>
          </w:tcPr>
          <w:p w14:paraId="2FB28EF1"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b/>
                <w:bCs/>
                <w:sz w:val="20"/>
                <w:szCs w:val="20"/>
                <w:lang w:val="pt-BR"/>
              </w:rPr>
              <w:t>___________________________________</w:t>
            </w:r>
            <w:r w:rsidRPr="009147A8">
              <w:rPr>
                <w:rFonts w:ascii="Arial" w:hAnsi="Arial" w:cs="Arial"/>
                <w:b/>
                <w:bCs/>
                <w:sz w:val="20"/>
                <w:szCs w:val="20"/>
                <w:lang w:val="pt-BR"/>
              </w:rPr>
              <w:br/>
              <w:t>[●]</w:t>
            </w:r>
          </w:p>
        </w:tc>
        <w:tc>
          <w:tcPr>
            <w:tcW w:w="2500" w:type="pct"/>
            <w:gridSpan w:val="2"/>
            <w:tcBorders>
              <w:top w:val="nil"/>
              <w:bottom w:val="nil"/>
              <w:right w:val="single" w:sz="4" w:space="0" w:color="auto"/>
            </w:tcBorders>
          </w:tcPr>
          <w:p w14:paraId="702290D5" w14:textId="77777777" w:rsidR="00DA6D67" w:rsidRPr="009147A8" w:rsidRDefault="00DA6D67" w:rsidP="00F10451">
            <w:pPr>
              <w:widowControl/>
              <w:spacing w:after="120" w:line="240" w:lineRule="auto"/>
              <w:rPr>
                <w:rFonts w:ascii="Arial" w:hAnsi="Arial" w:cs="Arial"/>
                <w:sz w:val="20"/>
                <w:szCs w:val="20"/>
                <w:lang w:val="pt-BR"/>
              </w:rPr>
            </w:pPr>
            <w:r w:rsidRPr="009147A8">
              <w:rPr>
                <w:rFonts w:ascii="Arial" w:hAnsi="Arial" w:cs="Arial"/>
                <w:b/>
                <w:bCs/>
                <w:sz w:val="20"/>
                <w:szCs w:val="20"/>
                <w:lang w:val="pt-BR"/>
              </w:rPr>
              <w:t>___________________________________</w:t>
            </w:r>
            <w:r w:rsidRPr="009147A8">
              <w:rPr>
                <w:rFonts w:ascii="Arial" w:hAnsi="Arial" w:cs="Arial"/>
                <w:b/>
                <w:bCs/>
                <w:sz w:val="20"/>
                <w:szCs w:val="20"/>
                <w:lang w:val="pt-BR"/>
              </w:rPr>
              <w:br/>
            </w:r>
            <w:r w:rsidRPr="009147A8">
              <w:rPr>
                <w:rFonts w:ascii="Arial" w:hAnsi="Arial" w:cs="Arial"/>
                <w:sz w:val="20"/>
                <w:szCs w:val="20"/>
                <w:lang w:val="pt-BR"/>
              </w:rPr>
              <w:t>Subscritor ou Representante Legal</w:t>
            </w:r>
          </w:p>
        </w:tc>
      </w:tr>
      <w:tr w:rsidR="00DA6D67" w:rsidRPr="009147A8" w14:paraId="7BCCBA2B" w14:textId="77777777" w:rsidTr="0013743D">
        <w:tc>
          <w:tcPr>
            <w:tcW w:w="1671" w:type="pct"/>
            <w:tcBorders>
              <w:top w:val="nil"/>
              <w:left w:val="single" w:sz="4" w:space="0" w:color="auto"/>
              <w:bottom w:val="single" w:sz="4" w:space="0" w:color="auto"/>
              <w:right w:val="nil"/>
            </w:tcBorders>
          </w:tcPr>
          <w:p w14:paraId="259B6B5D" w14:textId="77777777" w:rsidR="00DA6D67" w:rsidRPr="009147A8" w:rsidRDefault="00DA6D67" w:rsidP="00F10451">
            <w:pPr>
              <w:widowControl/>
              <w:spacing w:after="120" w:line="240" w:lineRule="auto"/>
              <w:rPr>
                <w:rFonts w:ascii="Arial" w:hAnsi="Arial" w:cs="Arial"/>
                <w:sz w:val="20"/>
                <w:szCs w:val="20"/>
              </w:rPr>
            </w:pPr>
            <w:r w:rsidRPr="009147A8">
              <w:rPr>
                <w:rFonts w:ascii="Arial" w:hAnsi="Arial" w:cs="Arial"/>
                <w:sz w:val="20"/>
                <w:szCs w:val="20"/>
              </w:rPr>
              <w:t xml:space="preserve">1ª Via </w:t>
            </w:r>
            <w:r w:rsidRPr="009147A8">
              <w:rPr>
                <w:rFonts w:ascii="Arial" w:hAnsi="Arial" w:cs="Arial"/>
                <w:sz w:val="20"/>
                <w:szCs w:val="20"/>
                <w:lang w:val="pt-BR"/>
              </w:rPr>
              <w:t>A</w:t>
            </w:r>
            <w:r>
              <w:rPr>
                <w:rFonts w:ascii="Arial" w:hAnsi="Arial" w:cs="Arial"/>
                <w:sz w:val="20"/>
                <w:szCs w:val="20"/>
                <w:lang w:val="pt-BR"/>
              </w:rPr>
              <w:t>DMINISTRADOR</w:t>
            </w:r>
          </w:p>
        </w:tc>
        <w:tc>
          <w:tcPr>
            <w:tcW w:w="1665" w:type="pct"/>
            <w:gridSpan w:val="2"/>
            <w:tcBorders>
              <w:top w:val="nil"/>
              <w:left w:val="nil"/>
              <w:bottom w:val="single" w:sz="4" w:space="0" w:color="auto"/>
              <w:right w:val="nil"/>
            </w:tcBorders>
          </w:tcPr>
          <w:p w14:paraId="567287F4" w14:textId="77777777" w:rsidR="00DA6D67" w:rsidRPr="009147A8" w:rsidRDefault="00DA6D67" w:rsidP="00F10451">
            <w:pPr>
              <w:widowControl/>
              <w:spacing w:after="120" w:line="240" w:lineRule="auto"/>
              <w:jc w:val="center"/>
              <w:rPr>
                <w:rFonts w:ascii="Arial" w:hAnsi="Arial" w:cs="Arial"/>
                <w:sz w:val="20"/>
                <w:szCs w:val="20"/>
              </w:rPr>
            </w:pPr>
            <w:r w:rsidRPr="009147A8">
              <w:rPr>
                <w:rFonts w:ascii="Arial" w:hAnsi="Arial" w:cs="Arial"/>
                <w:sz w:val="20"/>
                <w:szCs w:val="20"/>
              </w:rPr>
              <w:t xml:space="preserve">2ª Via </w:t>
            </w:r>
            <w:r w:rsidRPr="009147A8">
              <w:rPr>
                <w:rFonts w:ascii="Arial" w:hAnsi="Arial" w:cs="Arial"/>
                <w:sz w:val="20"/>
                <w:szCs w:val="20"/>
                <w:lang w:val="pt-BR"/>
              </w:rPr>
              <w:t>A</w:t>
            </w:r>
            <w:r>
              <w:rPr>
                <w:rFonts w:ascii="Arial" w:hAnsi="Arial" w:cs="Arial"/>
                <w:sz w:val="20"/>
                <w:szCs w:val="20"/>
                <w:lang w:val="pt-BR"/>
              </w:rPr>
              <w:t>DMINISTRADOR</w:t>
            </w:r>
          </w:p>
        </w:tc>
        <w:tc>
          <w:tcPr>
            <w:tcW w:w="1664" w:type="pct"/>
            <w:tcBorders>
              <w:top w:val="nil"/>
              <w:left w:val="nil"/>
              <w:bottom w:val="single" w:sz="4" w:space="0" w:color="auto"/>
              <w:right w:val="single" w:sz="4" w:space="0" w:color="auto"/>
            </w:tcBorders>
          </w:tcPr>
          <w:p w14:paraId="02D68C30" w14:textId="77777777" w:rsidR="00DA6D67" w:rsidRPr="009147A8" w:rsidRDefault="00DA6D67" w:rsidP="00F10451">
            <w:pPr>
              <w:widowControl/>
              <w:spacing w:after="120" w:line="240" w:lineRule="auto"/>
              <w:jc w:val="right"/>
              <w:rPr>
                <w:rFonts w:ascii="Arial" w:hAnsi="Arial" w:cs="Arial"/>
                <w:sz w:val="20"/>
                <w:szCs w:val="20"/>
              </w:rPr>
            </w:pPr>
            <w:r w:rsidRPr="009147A8">
              <w:rPr>
                <w:rFonts w:ascii="Arial" w:hAnsi="Arial" w:cs="Arial"/>
                <w:sz w:val="20"/>
                <w:szCs w:val="20"/>
              </w:rPr>
              <w:t xml:space="preserve">3ª Via </w:t>
            </w:r>
            <w:r w:rsidRPr="009147A8">
              <w:rPr>
                <w:rFonts w:ascii="Arial" w:hAnsi="Arial" w:cs="Arial"/>
                <w:sz w:val="20"/>
                <w:szCs w:val="20"/>
                <w:lang w:val="pt-BR"/>
              </w:rPr>
              <w:t>Subscritor</w:t>
            </w:r>
          </w:p>
        </w:tc>
      </w:tr>
    </w:tbl>
    <w:p w14:paraId="780EEE51" w14:textId="77777777" w:rsidR="00DA6D67" w:rsidRDefault="00DA6D67" w:rsidP="00DA6D67">
      <w:pPr>
        <w:widowControl/>
        <w:spacing w:after="240" w:line="240" w:lineRule="auto"/>
        <w:jc w:val="center"/>
        <w:rPr>
          <w:rFonts w:ascii="Arial" w:eastAsia="Calibri" w:hAnsi="Arial" w:cs="Arial"/>
          <w:szCs w:val="20"/>
        </w:rPr>
      </w:pPr>
      <w:r w:rsidRPr="003A6A4A">
        <w:rPr>
          <w:rFonts w:ascii="Arial" w:eastAsia="Calibri" w:hAnsi="Arial" w:cs="Arial"/>
          <w:szCs w:val="20"/>
        </w:rPr>
        <w:t>* * *</w:t>
      </w:r>
    </w:p>
    <w:p w14:paraId="6FD9A384" w14:textId="77777777" w:rsidR="00E169AD" w:rsidRDefault="00E169AD"/>
    <w:sectPr w:rsidR="00E169A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511A" w14:textId="77777777" w:rsidR="00D8219E" w:rsidRDefault="00D8219E" w:rsidP="00DA6D67">
      <w:pPr>
        <w:spacing w:line="240" w:lineRule="auto"/>
      </w:pPr>
      <w:r>
        <w:separator/>
      </w:r>
    </w:p>
  </w:endnote>
  <w:endnote w:type="continuationSeparator" w:id="0">
    <w:p w14:paraId="7438A885" w14:textId="77777777" w:rsidR="00D8219E" w:rsidRDefault="00D8219E" w:rsidP="00DA6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EFDC" w14:textId="77777777" w:rsidR="00D8219E" w:rsidRDefault="00D8219E" w:rsidP="00DA6D67">
      <w:pPr>
        <w:spacing w:line="240" w:lineRule="auto"/>
      </w:pPr>
      <w:r>
        <w:separator/>
      </w:r>
    </w:p>
  </w:footnote>
  <w:footnote w:type="continuationSeparator" w:id="0">
    <w:p w14:paraId="2C5E30AD" w14:textId="77777777" w:rsidR="00D8219E" w:rsidRDefault="00D8219E" w:rsidP="00DA6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1B29" w14:textId="59B79412" w:rsidR="00A936EB" w:rsidRPr="0013743D" w:rsidRDefault="00A936EB" w:rsidP="0013743D">
    <w:pPr>
      <w:pStyle w:val="Cabealho"/>
      <w:jc w:val="right"/>
      <w:rPr>
        <w:rFonts w:ascii="Arial" w:hAnsi="Arial" w:cs="Arial"/>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89E"/>
    <w:multiLevelType w:val="hybridMultilevel"/>
    <w:tmpl w:val="E5DE3760"/>
    <w:lvl w:ilvl="0" w:tplc="80AE1DEA">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FE1929"/>
    <w:multiLevelType w:val="multilevel"/>
    <w:tmpl w:val="23C46E22"/>
    <w:lvl w:ilvl="0">
      <w:start w:val="1"/>
      <w:numFmt w:val="upperRoman"/>
      <w:pStyle w:val="RFGCAPTULOREG"/>
      <w:suff w:val="space"/>
      <w:lvlText w:val="Capítulo %1"/>
      <w:lvlJc w:val="left"/>
      <w:pPr>
        <w:ind w:left="360" w:hanging="360"/>
      </w:pPr>
      <w:rPr>
        <w:rFonts w:hint="default"/>
        <w:b/>
        <w:caps/>
      </w:rPr>
    </w:lvl>
    <w:lvl w:ilvl="1">
      <w:start w:val="1"/>
      <w:numFmt w:val="decimal"/>
      <w:lvlText w:val="2.%2"/>
      <w:lvlJc w:val="left"/>
      <w:pPr>
        <w:tabs>
          <w:tab w:val="num" w:pos="794"/>
        </w:tabs>
        <w:ind w:left="0" w:firstLine="0"/>
      </w:pPr>
      <w:rPr>
        <w:rFonts w:hint="default"/>
        <w:b/>
        <w:bCs/>
        <w:sz w:val="21"/>
        <w:szCs w:val="21"/>
      </w:rPr>
    </w:lvl>
    <w:lvl w:ilvl="2">
      <w:start w:val="1"/>
      <w:numFmt w:val="decimal"/>
      <w:isLgl/>
      <w:lvlText w:val="%1.%2.%3."/>
      <w:lvlJc w:val="left"/>
      <w:pPr>
        <w:tabs>
          <w:tab w:val="num" w:pos="794"/>
        </w:tabs>
        <w:ind w:left="0" w:firstLine="0"/>
      </w:pPr>
      <w:rPr>
        <w:rFonts w:ascii="Arial" w:hAnsi="Arial" w:cs="Arial" w:hint="default"/>
        <w:b w:val="0"/>
        <w:sz w:val="24"/>
        <w:szCs w:val="24"/>
      </w:rPr>
    </w:lvl>
    <w:lvl w:ilvl="3">
      <w:start w:val="1"/>
      <w:numFmt w:val="decimal"/>
      <w:isLgl/>
      <w:lvlText w:val="%1.%2.%3.%4."/>
      <w:lvlJc w:val="left"/>
      <w:pPr>
        <w:tabs>
          <w:tab w:val="num" w:pos="794"/>
        </w:tabs>
        <w:ind w:left="0" w:firstLine="0"/>
      </w:pPr>
      <w:rPr>
        <w:rFonts w:hint="default"/>
      </w:rPr>
    </w:lvl>
    <w:lvl w:ilvl="4">
      <w:start w:val="1"/>
      <w:numFmt w:val="lowerLetter"/>
      <w:lvlText w:val="(%5)"/>
      <w:lvlJc w:val="left"/>
      <w:pPr>
        <w:tabs>
          <w:tab w:val="num" w:pos="794"/>
        </w:tabs>
        <w:ind w:left="794" w:hanging="510"/>
      </w:pPr>
      <w:rPr>
        <w:rFonts w:hint="default"/>
        <w:b w:val="0"/>
      </w:rPr>
    </w:lvl>
    <w:lvl w:ilvl="5">
      <w:start w:val="1"/>
      <w:numFmt w:val="lowerRoman"/>
      <w:lvlText w:val="(%6)"/>
      <w:lvlJc w:val="left"/>
      <w:pPr>
        <w:tabs>
          <w:tab w:val="num" w:pos="851"/>
        </w:tabs>
        <w:ind w:left="851" w:hanging="511"/>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9862783">
    <w:abstractNumId w:val="1"/>
  </w:num>
  <w:num w:numId="2" w16cid:durableId="100489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67"/>
    <w:rsid w:val="00030855"/>
    <w:rsid w:val="00055C66"/>
    <w:rsid w:val="00085B2A"/>
    <w:rsid w:val="000934FB"/>
    <w:rsid w:val="00097828"/>
    <w:rsid w:val="001060DA"/>
    <w:rsid w:val="00107840"/>
    <w:rsid w:val="0013743D"/>
    <w:rsid w:val="001916FC"/>
    <w:rsid w:val="001C3963"/>
    <w:rsid w:val="00222896"/>
    <w:rsid w:val="00285E52"/>
    <w:rsid w:val="002D345C"/>
    <w:rsid w:val="002D3F67"/>
    <w:rsid w:val="002F5071"/>
    <w:rsid w:val="003455D3"/>
    <w:rsid w:val="003C333B"/>
    <w:rsid w:val="003E1343"/>
    <w:rsid w:val="00410A37"/>
    <w:rsid w:val="00414583"/>
    <w:rsid w:val="004F396E"/>
    <w:rsid w:val="005105C1"/>
    <w:rsid w:val="00512DDA"/>
    <w:rsid w:val="00521EF0"/>
    <w:rsid w:val="005D39F6"/>
    <w:rsid w:val="0061152A"/>
    <w:rsid w:val="00641E27"/>
    <w:rsid w:val="0068144C"/>
    <w:rsid w:val="00697BFA"/>
    <w:rsid w:val="006A1E7D"/>
    <w:rsid w:val="006D1A8B"/>
    <w:rsid w:val="0071173B"/>
    <w:rsid w:val="007432F3"/>
    <w:rsid w:val="00752BC9"/>
    <w:rsid w:val="0077675E"/>
    <w:rsid w:val="00796FEC"/>
    <w:rsid w:val="007B75A2"/>
    <w:rsid w:val="007C6C6F"/>
    <w:rsid w:val="007D74EA"/>
    <w:rsid w:val="0085450D"/>
    <w:rsid w:val="00855DD8"/>
    <w:rsid w:val="008A0B69"/>
    <w:rsid w:val="008E0881"/>
    <w:rsid w:val="008F5406"/>
    <w:rsid w:val="00902BA7"/>
    <w:rsid w:val="00A17E31"/>
    <w:rsid w:val="00A5767A"/>
    <w:rsid w:val="00A57A10"/>
    <w:rsid w:val="00A936EB"/>
    <w:rsid w:val="00AD05CE"/>
    <w:rsid w:val="00BA1049"/>
    <w:rsid w:val="00BC50C6"/>
    <w:rsid w:val="00C106B5"/>
    <w:rsid w:val="00CF0CC6"/>
    <w:rsid w:val="00D01A39"/>
    <w:rsid w:val="00D5093F"/>
    <w:rsid w:val="00D64CF6"/>
    <w:rsid w:val="00D813D5"/>
    <w:rsid w:val="00D8219E"/>
    <w:rsid w:val="00D85BB5"/>
    <w:rsid w:val="00D860D2"/>
    <w:rsid w:val="00DA6D67"/>
    <w:rsid w:val="00DC0EDB"/>
    <w:rsid w:val="00DF7454"/>
    <w:rsid w:val="00E169AD"/>
    <w:rsid w:val="00EA77C7"/>
    <w:rsid w:val="00EB4239"/>
    <w:rsid w:val="00EC1E0D"/>
    <w:rsid w:val="00F34AA4"/>
    <w:rsid w:val="00F82909"/>
    <w:rsid w:val="00FD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4E59A"/>
  <w15:chartTrackingRefBased/>
  <w15:docId w15:val="{2A2AB600-0F17-49EA-A344-D122B57A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67"/>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semiHidden/>
    <w:rsid w:val="00DA6D67"/>
    <w:pPr>
      <w:spacing w:line="288" w:lineRule="auto"/>
    </w:pPr>
    <w:rPr>
      <w:rFonts w:ascii="Arial" w:hAnsi="Arial" w:cs="Arial"/>
      <w:sz w:val="16"/>
      <w:szCs w:val="16"/>
    </w:rPr>
  </w:style>
  <w:style w:type="character" w:customStyle="1" w:styleId="TextodenotaderodapChar">
    <w:name w:val="Texto de nota de rodapé Char"/>
    <w:basedOn w:val="Fontepargpadro"/>
    <w:link w:val="Textodenotaderodap"/>
    <w:semiHidden/>
    <w:rsid w:val="00DA6D67"/>
    <w:rPr>
      <w:rFonts w:ascii="Arial" w:eastAsia="Times New Roman" w:hAnsi="Arial" w:cs="Arial"/>
      <w:sz w:val="16"/>
      <w:szCs w:val="16"/>
    </w:rPr>
  </w:style>
  <w:style w:type="character" w:styleId="Refdenotaderodap">
    <w:name w:val="footnote reference"/>
    <w:uiPriority w:val="99"/>
    <w:semiHidden/>
    <w:rsid w:val="00DA6D67"/>
    <w:rPr>
      <w:vertAlign w:val="superscript"/>
    </w:rPr>
  </w:style>
  <w:style w:type="paragraph" w:styleId="Ttulo">
    <w:name w:val="Title"/>
    <w:aliases w:val="t"/>
    <w:basedOn w:val="Normal"/>
    <w:link w:val="TtuloChar"/>
    <w:qFormat/>
    <w:rsid w:val="00DA6D67"/>
    <w:pPr>
      <w:widowControl/>
      <w:adjustRightInd/>
      <w:spacing w:line="240" w:lineRule="auto"/>
      <w:jc w:val="center"/>
      <w:textAlignment w:val="auto"/>
    </w:pPr>
    <w:rPr>
      <w:rFonts w:ascii="Arial" w:hAnsi="Arial"/>
      <w:b/>
      <w:sz w:val="20"/>
      <w:szCs w:val="20"/>
      <w:lang w:val="pt-BR" w:eastAsia="pt-BR"/>
    </w:rPr>
  </w:style>
  <w:style w:type="character" w:customStyle="1" w:styleId="TtuloChar">
    <w:name w:val="Título Char"/>
    <w:aliases w:val="t Char"/>
    <w:basedOn w:val="Fontepargpadro"/>
    <w:link w:val="Ttulo"/>
    <w:rsid w:val="00DA6D67"/>
    <w:rPr>
      <w:rFonts w:ascii="Arial" w:eastAsia="Times New Roman" w:hAnsi="Arial" w:cs="Times New Roman"/>
      <w:b/>
      <w:sz w:val="20"/>
      <w:szCs w:val="20"/>
      <w:lang w:val="pt-BR" w:eastAsia="pt-BR"/>
    </w:rPr>
  </w:style>
  <w:style w:type="paragraph" w:customStyle="1" w:styleId="RFGCAPTULOREG">
    <w:name w:val="RFG CAPÍTULO REG"/>
    <w:basedOn w:val="PargrafodaLista"/>
    <w:link w:val="RFGCAPTULOREGChar"/>
    <w:qFormat/>
    <w:rsid w:val="00DA6D67"/>
    <w:pPr>
      <w:keepNext/>
      <w:widowControl/>
      <w:numPr>
        <w:numId w:val="1"/>
      </w:numPr>
      <w:spacing w:after="240" w:line="300" w:lineRule="exact"/>
      <w:contextualSpacing w:val="0"/>
      <w:jc w:val="center"/>
      <w:outlineLvl w:val="0"/>
    </w:pPr>
    <w:rPr>
      <w:rFonts w:asciiTheme="minorHAnsi" w:hAnsiTheme="minorHAnsi" w:cstheme="minorHAnsi"/>
      <w:b/>
      <w:color w:val="000000" w:themeColor="text1"/>
      <w:lang w:val="pt-BR"/>
    </w:rPr>
  </w:style>
  <w:style w:type="character" w:customStyle="1" w:styleId="RFGCAPTULOREGChar">
    <w:name w:val="RFG CAPÍTULO REG Char"/>
    <w:basedOn w:val="Fontepargpadro"/>
    <w:link w:val="RFGCAPTULOREG"/>
    <w:rsid w:val="00DA6D67"/>
    <w:rPr>
      <w:rFonts w:eastAsia="Times New Roman" w:cstheme="minorHAnsi"/>
      <w:b/>
      <w:color w:val="000000" w:themeColor="text1"/>
      <w:sz w:val="24"/>
      <w:szCs w:val="24"/>
      <w:lang w:val="pt-BR"/>
    </w:rPr>
  </w:style>
  <w:style w:type="paragraph" w:styleId="PargrafodaLista">
    <w:name w:val="List Paragraph"/>
    <w:basedOn w:val="Normal"/>
    <w:uiPriority w:val="34"/>
    <w:qFormat/>
    <w:rsid w:val="00DA6D67"/>
    <w:pPr>
      <w:ind w:left="720"/>
      <w:contextualSpacing/>
    </w:pPr>
  </w:style>
  <w:style w:type="character" w:styleId="Refdecomentrio">
    <w:name w:val="annotation reference"/>
    <w:basedOn w:val="Fontepargpadro"/>
    <w:uiPriority w:val="99"/>
    <w:semiHidden/>
    <w:unhideWhenUsed/>
    <w:rsid w:val="00DA6D67"/>
    <w:rPr>
      <w:sz w:val="16"/>
      <w:szCs w:val="16"/>
    </w:rPr>
  </w:style>
  <w:style w:type="paragraph" w:styleId="Textodecomentrio">
    <w:name w:val="annotation text"/>
    <w:basedOn w:val="Normal"/>
    <w:link w:val="TextodecomentrioChar"/>
    <w:uiPriority w:val="99"/>
    <w:semiHidden/>
    <w:unhideWhenUsed/>
    <w:rsid w:val="00DA6D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D67"/>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D67"/>
    <w:rPr>
      <w:b/>
      <w:bCs/>
    </w:rPr>
  </w:style>
  <w:style w:type="character" w:customStyle="1" w:styleId="AssuntodocomentrioChar">
    <w:name w:val="Assunto do comentário Char"/>
    <w:basedOn w:val="TextodecomentrioChar"/>
    <w:link w:val="Assuntodocomentrio"/>
    <w:uiPriority w:val="99"/>
    <w:semiHidden/>
    <w:rsid w:val="00DA6D67"/>
    <w:rPr>
      <w:rFonts w:ascii="Times New Roman" w:eastAsia="Times New Roman" w:hAnsi="Times New Roman" w:cs="Times New Roman"/>
      <w:b/>
      <w:bCs/>
      <w:sz w:val="20"/>
      <w:szCs w:val="20"/>
    </w:rPr>
  </w:style>
  <w:style w:type="paragraph" w:styleId="Cabealho">
    <w:name w:val="header"/>
    <w:basedOn w:val="Normal"/>
    <w:link w:val="CabealhoChar"/>
    <w:uiPriority w:val="99"/>
    <w:unhideWhenUsed/>
    <w:rsid w:val="00DA6D67"/>
    <w:pPr>
      <w:tabs>
        <w:tab w:val="center" w:pos="4680"/>
        <w:tab w:val="right" w:pos="9360"/>
      </w:tabs>
      <w:spacing w:line="240" w:lineRule="auto"/>
    </w:pPr>
  </w:style>
  <w:style w:type="character" w:customStyle="1" w:styleId="CabealhoChar">
    <w:name w:val="Cabeçalho Char"/>
    <w:basedOn w:val="Fontepargpadro"/>
    <w:link w:val="Cabealho"/>
    <w:uiPriority w:val="99"/>
    <w:rsid w:val="00DA6D67"/>
    <w:rPr>
      <w:rFonts w:ascii="Times New Roman" w:eastAsia="Times New Roman" w:hAnsi="Times New Roman" w:cs="Times New Roman"/>
      <w:sz w:val="24"/>
      <w:szCs w:val="24"/>
    </w:rPr>
  </w:style>
  <w:style w:type="paragraph" w:styleId="Rodap">
    <w:name w:val="footer"/>
    <w:basedOn w:val="Normal"/>
    <w:link w:val="RodapChar"/>
    <w:uiPriority w:val="99"/>
    <w:unhideWhenUsed/>
    <w:rsid w:val="00DA6D67"/>
    <w:pPr>
      <w:tabs>
        <w:tab w:val="center" w:pos="4680"/>
        <w:tab w:val="right" w:pos="9360"/>
      </w:tabs>
      <w:spacing w:line="240" w:lineRule="auto"/>
    </w:pPr>
  </w:style>
  <w:style w:type="character" w:customStyle="1" w:styleId="RodapChar">
    <w:name w:val="Rodapé Char"/>
    <w:basedOn w:val="Fontepargpadro"/>
    <w:link w:val="Rodap"/>
    <w:uiPriority w:val="99"/>
    <w:rsid w:val="00DA6D67"/>
    <w:rPr>
      <w:rFonts w:ascii="Times New Roman" w:eastAsia="Times New Roman" w:hAnsi="Times New Roman" w:cs="Times New Roman"/>
      <w:sz w:val="24"/>
      <w:szCs w:val="24"/>
    </w:rPr>
  </w:style>
  <w:style w:type="paragraph" w:styleId="Reviso">
    <w:name w:val="Revision"/>
    <w:hidden/>
    <w:uiPriority w:val="99"/>
    <w:semiHidden/>
    <w:rsid w:val="00A936E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57781">
      <w:bodyDiv w:val="1"/>
      <w:marLeft w:val="0"/>
      <w:marRight w:val="0"/>
      <w:marTop w:val="0"/>
      <w:marBottom w:val="0"/>
      <w:divBdr>
        <w:top w:val="none" w:sz="0" w:space="0" w:color="auto"/>
        <w:left w:val="none" w:sz="0" w:space="0" w:color="auto"/>
        <w:bottom w:val="none" w:sz="0" w:space="0" w:color="auto"/>
        <w:right w:val="none" w:sz="0" w:space="0" w:color="auto"/>
      </w:divBdr>
    </w:div>
    <w:div w:id="404962773">
      <w:bodyDiv w:val="1"/>
      <w:marLeft w:val="0"/>
      <w:marRight w:val="0"/>
      <w:marTop w:val="0"/>
      <w:marBottom w:val="0"/>
      <w:divBdr>
        <w:top w:val="none" w:sz="0" w:space="0" w:color="auto"/>
        <w:left w:val="none" w:sz="0" w:space="0" w:color="auto"/>
        <w:bottom w:val="none" w:sz="0" w:space="0" w:color="auto"/>
        <w:right w:val="none" w:sz="0" w:space="0" w:color="auto"/>
      </w:divBdr>
    </w:div>
    <w:div w:id="529758279">
      <w:bodyDiv w:val="1"/>
      <w:marLeft w:val="0"/>
      <w:marRight w:val="0"/>
      <w:marTop w:val="0"/>
      <w:marBottom w:val="0"/>
      <w:divBdr>
        <w:top w:val="none" w:sz="0" w:space="0" w:color="auto"/>
        <w:left w:val="none" w:sz="0" w:space="0" w:color="auto"/>
        <w:bottom w:val="none" w:sz="0" w:space="0" w:color="auto"/>
        <w:right w:val="none" w:sz="0" w:space="0" w:color="auto"/>
      </w:divBdr>
    </w:div>
    <w:div w:id="592780739">
      <w:bodyDiv w:val="1"/>
      <w:marLeft w:val="0"/>
      <w:marRight w:val="0"/>
      <w:marTop w:val="0"/>
      <w:marBottom w:val="0"/>
      <w:divBdr>
        <w:top w:val="none" w:sz="0" w:space="0" w:color="auto"/>
        <w:left w:val="none" w:sz="0" w:space="0" w:color="auto"/>
        <w:bottom w:val="none" w:sz="0" w:space="0" w:color="auto"/>
        <w:right w:val="none" w:sz="0" w:space="0" w:color="auto"/>
      </w:divBdr>
    </w:div>
    <w:div w:id="1142961230">
      <w:bodyDiv w:val="1"/>
      <w:marLeft w:val="0"/>
      <w:marRight w:val="0"/>
      <w:marTop w:val="0"/>
      <w:marBottom w:val="0"/>
      <w:divBdr>
        <w:top w:val="none" w:sz="0" w:space="0" w:color="auto"/>
        <w:left w:val="none" w:sz="0" w:space="0" w:color="auto"/>
        <w:bottom w:val="none" w:sz="0" w:space="0" w:color="auto"/>
        <w:right w:val="none" w:sz="0" w:space="0" w:color="auto"/>
      </w:divBdr>
    </w:div>
    <w:div w:id="1222519970">
      <w:bodyDiv w:val="1"/>
      <w:marLeft w:val="0"/>
      <w:marRight w:val="0"/>
      <w:marTop w:val="0"/>
      <w:marBottom w:val="0"/>
      <w:divBdr>
        <w:top w:val="none" w:sz="0" w:space="0" w:color="auto"/>
        <w:left w:val="none" w:sz="0" w:space="0" w:color="auto"/>
        <w:bottom w:val="none" w:sz="0" w:space="0" w:color="auto"/>
        <w:right w:val="none" w:sz="0" w:space="0" w:color="auto"/>
      </w:divBdr>
    </w:div>
    <w:div w:id="1595625057">
      <w:bodyDiv w:val="1"/>
      <w:marLeft w:val="0"/>
      <w:marRight w:val="0"/>
      <w:marTop w:val="0"/>
      <w:marBottom w:val="0"/>
      <w:divBdr>
        <w:top w:val="none" w:sz="0" w:space="0" w:color="auto"/>
        <w:left w:val="none" w:sz="0" w:space="0" w:color="auto"/>
        <w:bottom w:val="none" w:sz="0" w:space="0" w:color="auto"/>
        <w:right w:val="none" w:sz="0" w:space="0" w:color="auto"/>
      </w:divBdr>
    </w:div>
    <w:div w:id="18421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80d9f3-ac26-41e6-a651-bbcab6a7cd7d">
      <Terms xmlns="http://schemas.microsoft.com/office/infopath/2007/PartnerControls"/>
    </lcf76f155ced4ddcb4097134ff3c332f>
    <TaxCatchAll xmlns="9545cc3f-fdc2-48c6-a578-b2cd89517e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7A4D277DC9F4E92E9A626E74CAB03" ma:contentTypeVersion="14" ma:contentTypeDescription="Create a new document." ma:contentTypeScope="" ma:versionID="653d316893484b76a9db941c439d9295">
  <xsd:schema xmlns:xsd="http://www.w3.org/2001/XMLSchema" xmlns:xs="http://www.w3.org/2001/XMLSchema" xmlns:p="http://schemas.microsoft.com/office/2006/metadata/properties" xmlns:ns2="0380d9f3-ac26-41e6-a651-bbcab6a7cd7d" xmlns:ns3="9545cc3f-fdc2-48c6-a578-b2cd89517e01" targetNamespace="http://schemas.microsoft.com/office/2006/metadata/properties" ma:root="true" ma:fieldsID="ea52e01454606547b17241b9e1fe9526" ns2:_="" ns3:_="">
    <xsd:import namespace="0380d9f3-ac26-41e6-a651-bbcab6a7cd7d"/>
    <xsd:import namespace="9545cc3f-fdc2-48c6-a578-b2cd89517e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d9f3-ac26-41e6-a651-bbcab6a7c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e3933b-a88c-476e-8d62-9e46c87e95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5cc3f-fdc2-48c6-a578-b2cd89517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46097-64d4-4cbd-830b-c904b206df3f}" ma:internalName="TaxCatchAll" ma:showField="CatchAllData" ma:web="9545cc3f-fdc2-48c6-a578-b2cd89517e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 D O C S ! 3 6 6 1 9 3 8 . 1 < / d o c u m e n t i d >  
     < s e n d e r i d > E M E R S O N . L I M A < / s e n d e r i d >  
     < s e n d e r e m a i l > E M E R S O N . L I M A @ M A D R O N A F I A L H O . C O M . B R < / s e n d e r e m a i l >  
     < l a s t m o d i f i e d > 2 0 2 4 - 0 9 - 0 5 T 1 3 : 3 4 : 0 0 . 0 0 0 0 0 0 0 - 0 3 : 0 0 < / l a s t m o d i f i e d >  
     < d a t a b a s e > D O C S < / d a t a b a s e >  
 < / p r o p e r t i e s > 
</file>

<file path=customXml/itemProps1.xml><?xml version="1.0" encoding="utf-8"?>
<ds:datastoreItem xmlns:ds="http://schemas.openxmlformats.org/officeDocument/2006/customXml" ds:itemID="{74499DCF-E1A9-461E-91B9-A5B8826C94EB}">
  <ds:schemaRefs>
    <ds:schemaRef ds:uri="http://schemas.microsoft.com/sharepoint/v3/contenttype/forms"/>
  </ds:schemaRefs>
</ds:datastoreItem>
</file>

<file path=customXml/itemProps2.xml><?xml version="1.0" encoding="utf-8"?>
<ds:datastoreItem xmlns:ds="http://schemas.openxmlformats.org/officeDocument/2006/customXml" ds:itemID="{BEFE460A-5380-4A40-A19B-DAE41988AF40}">
  <ds:schemaRefs>
    <ds:schemaRef ds:uri="http://schemas.openxmlformats.org/officeDocument/2006/bibliography"/>
  </ds:schemaRefs>
</ds:datastoreItem>
</file>

<file path=customXml/itemProps3.xml><?xml version="1.0" encoding="utf-8"?>
<ds:datastoreItem xmlns:ds="http://schemas.openxmlformats.org/officeDocument/2006/customXml" ds:itemID="{86D99FF4-8E20-4D8D-BD09-E9A3FA9E5680}">
  <ds:schemaRefs>
    <ds:schemaRef ds:uri="http://schemas.microsoft.com/office/2006/metadata/properties"/>
    <ds:schemaRef ds:uri="http://schemas.microsoft.com/office/infopath/2007/PartnerControls"/>
    <ds:schemaRef ds:uri="0380d9f3-ac26-41e6-a651-bbcab6a7cd7d"/>
    <ds:schemaRef ds:uri="9545cc3f-fdc2-48c6-a578-b2cd89517e01"/>
  </ds:schemaRefs>
</ds:datastoreItem>
</file>

<file path=customXml/itemProps4.xml><?xml version="1.0" encoding="utf-8"?>
<ds:datastoreItem xmlns:ds="http://schemas.openxmlformats.org/officeDocument/2006/customXml" ds:itemID="{1F58AE70-32A4-4583-B944-BDEF9825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d9f3-ac26-41e6-a651-bbcab6a7cd7d"/>
    <ds:schemaRef ds:uri="9545cc3f-fdc2-48c6-a578-b2cd8951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3AAFF-9A49-48D0-99FB-1DDCA786877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1805</Words>
  <Characters>10331</Characters>
  <Application>Microsoft Office Word</Application>
  <DocSecurity>0</DocSecurity>
  <Lines>163</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 Tassiana</dc:creator>
  <cp:keywords/>
  <dc:description/>
  <cp:lastModifiedBy>Emerson Alves de Lima</cp:lastModifiedBy>
  <cp:revision>11</cp:revision>
  <cp:lastPrinted>2024-07-01T20:12:00Z</cp:lastPrinted>
  <dcterms:created xsi:type="dcterms:W3CDTF">2024-07-03T20:25:00Z</dcterms:created>
  <dcterms:modified xsi:type="dcterms:W3CDTF">2024-09-05T19:45:00Z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0x0101005BB9F61CDC3B7E4DB07D6A4D537D9795</vt:lpwstr>
  </property>
  <property fmtid="{D5CDD505-2E9C-101B-9397-08002B2CF9AE}" pid="3" name="_dlc_DocIdItemGuid">
    <vt:lpwstr>cca1aae5-7631-4ecd-8a92-f43a805cfc4a</vt:lpwstr>
  </property>
  <property fmtid="{D5CDD505-2E9C-101B-9397-08002B2CF9AE}" pid="4" name="MediaServiceImageTags">
    <vt:lpwstr/>
  </property>
  <property fmtid="{D5CDD505-2E9C-101B-9397-08002B2CF9AE}" pid="5" name="MSIP_Label_9f5c05c1-20cc-4ae2-903f-bbf65a0cdbcc_Enabled">
    <vt:lpwstr>true</vt:lpwstr>
  </property>
  <property fmtid="{D5CDD505-2E9C-101B-9397-08002B2CF9AE}" pid="6" name="MSIP_Label_9f5c05c1-20cc-4ae2-903f-bbf65a0cdbcc_SetDate">
    <vt:lpwstr>2023-12-01T19:52:59Z</vt:lpwstr>
  </property>
  <property fmtid="{D5CDD505-2E9C-101B-9397-08002B2CF9AE}" pid="7" name="MSIP_Label_9f5c05c1-20cc-4ae2-903f-bbf65a0cdbcc_Method">
    <vt:lpwstr>Privileged</vt:lpwstr>
  </property>
  <property fmtid="{D5CDD505-2E9C-101B-9397-08002B2CF9AE}" pid="8" name="MSIP_Label_9f5c05c1-20cc-4ae2-903f-bbf65a0cdbcc_Name">
    <vt:lpwstr>9f5c05c1-20cc-4ae2-903f-bbf65a0cdbcc</vt:lpwstr>
  </property>
  <property fmtid="{D5CDD505-2E9C-101B-9397-08002B2CF9AE}" pid="9" name="MSIP_Label_9f5c05c1-20cc-4ae2-903f-bbf65a0cdbcc_SiteId">
    <vt:lpwstr>16e7cf3f-6af4-4e76-941e-aecafb9704e9</vt:lpwstr>
  </property>
  <property fmtid="{D5CDD505-2E9C-101B-9397-08002B2CF9AE}" pid="10" name="MSIP_Label_9f5c05c1-20cc-4ae2-903f-bbf65a0cdbcc_ActionId">
    <vt:lpwstr>78c48978-0758-4d63-82f1-245c31ba8404</vt:lpwstr>
  </property>
  <property fmtid="{D5CDD505-2E9C-101B-9397-08002B2CF9AE}" pid="11" name="MSIP_Label_9f5c05c1-20cc-4ae2-903f-bbf65a0cdbcc_ContentBits">
    <vt:lpwstr>0</vt:lpwstr>
  </property>
</Properties>
</file>